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200" w:rsidRDefault="00F95200">
      <w:pPr>
        <w:pStyle w:val="BodyText"/>
        <w:kinsoku w:val="0"/>
        <w:overflowPunct w:val="0"/>
        <w:spacing w:before="8"/>
        <w:rPr>
          <w:rFonts w:ascii="Times New Roman" w:hAnsi="Times New Roman" w:cs="Times New Roman"/>
          <w:sz w:val="17"/>
          <w:szCs w:val="17"/>
        </w:rPr>
      </w:pPr>
    </w:p>
    <w:p w:rsidR="00F95200" w:rsidRDefault="0036264A">
      <w:pPr>
        <w:pStyle w:val="BodyText"/>
        <w:kinsoku w:val="0"/>
        <w:overflowPunct w:val="0"/>
        <w:spacing w:before="89"/>
        <w:ind w:left="806"/>
        <w:rPr>
          <w:sz w:val="32"/>
          <w:szCs w:val="32"/>
        </w:rPr>
      </w:pPr>
      <w:r>
        <w:rPr>
          <w:noProof/>
        </w:rPr>
        <mc:AlternateContent>
          <mc:Choice Requires="wpg">
            <w:drawing>
              <wp:anchor distT="0" distB="0" distL="0" distR="0" simplePos="0" relativeHeight="251658240" behindDoc="0" locked="0" layoutInCell="0" allowOverlap="1">
                <wp:simplePos x="0" y="0"/>
                <wp:positionH relativeFrom="page">
                  <wp:posOffset>895985</wp:posOffset>
                </wp:positionH>
                <wp:positionV relativeFrom="paragraph">
                  <wp:posOffset>307340</wp:posOffset>
                </wp:positionV>
                <wp:extent cx="8266430" cy="56515"/>
                <wp:effectExtent l="0" t="0" r="0" b="0"/>
                <wp:wrapTopAndBottom/>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6430" cy="56515"/>
                          <a:chOff x="1411" y="484"/>
                          <a:chExt cx="13018" cy="89"/>
                        </a:xfrm>
                      </wpg:grpSpPr>
                      <wps:wsp>
                        <wps:cNvPr id="4" name="Freeform 5"/>
                        <wps:cNvSpPr>
                          <a:spLocks/>
                        </wps:cNvSpPr>
                        <wps:spPr bwMode="auto">
                          <a:xfrm>
                            <a:off x="1411" y="542"/>
                            <a:ext cx="13018" cy="20"/>
                          </a:xfrm>
                          <a:custGeom>
                            <a:avLst/>
                            <a:gdLst>
                              <a:gd name="T0" fmla="*/ 0 w 13018"/>
                              <a:gd name="T1" fmla="*/ 0 h 20"/>
                              <a:gd name="T2" fmla="*/ 13018 w 13018"/>
                              <a:gd name="T3" fmla="*/ 0 h 20"/>
                            </a:gdLst>
                            <a:ahLst/>
                            <a:cxnLst>
                              <a:cxn ang="0">
                                <a:pos x="T0" y="T1"/>
                              </a:cxn>
                              <a:cxn ang="0">
                                <a:pos x="T2" y="T3"/>
                              </a:cxn>
                            </a:cxnLst>
                            <a:rect l="0" t="0" r="r" b="b"/>
                            <a:pathLst>
                              <a:path w="13018" h="20">
                                <a:moveTo>
                                  <a:pt x="0" y="0"/>
                                </a:moveTo>
                                <a:lnTo>
                                  <a:pt x="13018" y="0"/>
                                </a:lnTo>
                              </a:path>
                            </a:pathLst>
                          </a:custGeom>
                          <a:noFill/>
                          <a:ln w="3810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1411" y="491"/>
                            <a:ext cx="13018" cy="20"/>
                          </a:xfrm>
                          <a:custGeom>
                            <a:avLst/>
                            <a:gdLst>
                              <a:gd name="T0" fmla="*/ 0 w 13018"/>
                              <a:gd name="T1" fmla="*/ 0 h 20"/>
                              <a:gd name="T2" fmla="*/ 13018 w 13018"/>
                              <a:gd name="T3" fmla="*/ 0 h 20"/>
                            </a:gdLst>
                            <a:ahLst/>
                            <a:cxnLst>
                              <a:cxn ang="0">
                                <a:pos x="T0" y="T1"/>
                              </a:cxn>
                              <a:cxn ang="0">
                                <a:pos x="T2" y="T3"/>
                              </a:cxn>
                            </a:cxnLst>
                            <a:rect l="0" t="0" r="r" b="b"/>
                            <a:pathLst>
                              <a:path w="13018" h="20">
                                <a:moveTo>
                                  <a:pt x="0" y="0"/>
                                </a:moveTo>
                                <a:lnTo>
                                  <a:pt x="13018" y="0"/>
                                </a:lnTo>
                              </a:path>
                            </a:pathLst>
                          </a:custGeom>
                          <a:noFill/>
                          <a:ln w="914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2E779" id="Group 4" o:spid="_x0000_s1026" style="position:absolute;margin-left:70.55pt;margin-top:24.2pt;width:650.9pt;height:4.45pt;z-index:251658240;mso-wrap-distance-left:0;mso-wrap-distance-right:0;mso-position-horizontal-relative:page" coordorigin="1411,484" coordsize="130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" o:allowincell="f">
                <v:shape id="Freeform 5" o:spid="_x0000_s1027" style="position:absolute;left:1411;top:542;width:13018;height:20;visibility:visible;mso-wrap-style:square;v-text-anchor:top" coordsize="1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" path="m,l13018,e" filled="f" strokecolor="#612322" strokeweight="3pt">
                  <v:path arrowok="t" o:connecttype="custom" o:connectlocs="0,0;13018,0" o:connectangles="0,0"/>
                </v:shape>
                <v:shape id="Freeform 6" o:spid="_x0000_s1028" style="position:absolute;left:1411;top:491;width:13018;height:20;visibility:visible;mso-wrap-style:square;v-text-anchor:top" coordsize="1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" path="m,l13018,e" filled="f" strokecolor="#612322" strokeweight=".72pt">
                  <v:path arrowok="t" o:connecttype="custom" o:connectlocs="0,0;13018,0" o:connectangles="0,0"/>
                </v:shape>
                <w10:wrap type="topAndBottom" anchorx="page"/>
              </v:group>
            </w:pict>
          </mc:Fallback>
        </mc:AlternateContent>
      </w:r>
      <w:r w:rsidR="00F95200">
        <w:rPr>
          <w:sz w:val="32"/>
          <w:szCs w:val="32"/>
        </w:rPr>
        <w:t>Crosswalk - Requirements for Foodborne Illness Training Programs Based on Standard 5</w:t>
      </w:r>
    </w:p>
    <w:p w:rsidR="00F95200" w:rsidRDefault="00F95200">
      <w:pPr>
        <w:pStyle w:val="BodyText"/>
        <w:kinsoku w:val="0"/>
        <w:overflowPunct w:val="0"/>
        <w:spacing w:before="4"/>
        <w:rPr>
          <w:sz w:val="39"/>
          <w:szCs w:val="39"/>
        </w:rPr>
      </w:pPr>
    </w:p>
    <w:p w:rsidR="00F95200" w:rsidRDefault="00F95200">
      <w:pPr>
        <w:pStyle w:val="BodyText"/>
        <w:kinsoku w:val="0"/>
        <w:overflowPunct w:val="0"/>
        <w:ind w:left="660"/>
      </w:pPr>
      <w:r>
        <w:t>Introduction:</w:t>
      </w:r>
    </w:p>
    <w:p w:rsidR="00F95200" w:rsidRDefault="00F95200">
      <w:pPr>
        <w:pStyle w:val="BodyText"/>
        <w:kinsoku w:val="0"/>
        <w:overflowPunct w:val="0"/>
        <w:spacing w:before="10"/>
        <w:rPr>
          <w:sz w:val="20"/>
          <w:szCs w:val="20"/>
        </w:rPr>
      </w:pPr>
    </w:p>
    <w:p w:rsidR="00F95200" w:rsidRDefault="00F95200">
      <w:pPr>
        <w:pStyle w:val="BodyText"/>
        <w:kinsoku w:val="0"/>
        <w:overflowPunct w:val="0"/>
        <w:spacing w:before="200" w:line="276" w:lineRule="auto"/>
        <w:ind w:left="660" w:right="793"/>
      </w:pPr>
      <w:r>
        <w:t xml:space="preserve">The 2014 – 2016 Interdisciplinary Foodborne Illness Training Committee (IFITC) was charged with developing a Crosswalk that would identify areas where training programs could be compared to Standard 5 of the Voluntary National Retail Food Regulatory Program Standards. Using the </w:t>
      </w:r>
      <w:r w:rsidR="001269E1" w:rsidRPr="001269E1">
        <w:t>FSMA 205 C</w:t>
      </w:r>
      <w:r w:rsidR="002163CE">
        <w:t xml:space="preserve"> </w:t>
      </w:r>
      <w:r w:rsidR="001269E1" w:rsidRPr="001269E1">
        <w:t xml:space="preserve">(1) Phases of a Food Incident Response </w:t>
      </w:r>
      <w:r>
        <w:t>CIFOR/RRT/MFRPS/VNRFRPS Crosswalk as a base, the Committee revised the Crosswalk to compare additional training programs that were identified. In addition to the training programs identified in the CIFOR/RRT/MFRPS/VNRFRPS Crosswalk, the IFITC also reviewed:</w:t>
      </w:r>
    </w:p>
    <w:p w:rsidR="00F95200" w:rsidRDefault="00F95200">
      <w:pPr>
        <w:pStyle w:val="ListParagraph"/>
        <w:numPr>
          <w:ilvl w:val="0"/>
          <w:numId w:val="2"/>
        </w:numPr>
        <w:tabs>
          <w:tab w:val="left" w:pos="1381"/>
        </w:tabs>
        <w:kinsoku w:val="0"/>
        <w:overflowPunct w:val="0"/>
        <w:spacing w:before="202"/>
      </w:pPr>
      <w:r>
        <w:t>National Environmental Health Association (NEHA) course</w:t>
      </w:r>
      <w:r>
        <w:rPr>
          <w:spacing w:val="-5"/>
        </w:rPr>
        <w:t xml:space="preserve"> </w:t>
      </w:r>
      <w:r>
        <w:t>“I-FITT-RR”</w:t>
      </w:r>
    </w:p>
    <w:p w:rsidR="00F95200" w:rsidRDefault="00F95200">
      <w:pPr>
        <w:pStyle w:val="BodyText"/>
        <w:kinsoku w:val="0"/>
        <w:overflowPunct w:val="0"/>
        <w:rPr>
          <w:sz w:val="21"/>
          <w:szCs w:val="21"/>
        </w:rPr>
      </w:pPr>
    </w:p>
    <w:p w:rsidR="00F95200" w:rsidRDefault="00F95200">
      <w:pPr>
        <w:pStyle w:val="ListParagraph"/>
        <w:numPr>
          <w:ilvl w:val="0"/>
          <w:numId w:val="2"/>
        </w:numPr>
        <w:tabs>
          <w:tab w:val="left" w:pos="1381"/>
        </w:tabs>
        <w:kinsoku w:val="0"/>
        <w:overflowPunct w:val="0"/>
        <w:spacing w:line="237" w:lineRule="auto"/>
        <w:ind w:right="1074"/>
      </w:pPr>
      <w:r>
        <w:t>National Environmental Health Association (NEHA) Epi-Ready – Foodborne Illness Response Strategies, June 2006</w:t>
      </w:r>
    </w:p>
    <w:p w:rsidR="00F95200" w:rsidRDefault="00F95200">
      <w:pPr>
        <w:pStyle w:val="BodyText"/>
        <w:kinsoku w:val="0"/>
        <w:overflowPunct w:val="0"/>
        <w:rPr>
          <w:sz w:val="26"/>
          <w:szCs w:val="26"/>
        </w:rPr>
      </w:pPr>
    </w:p>
    <w:p w:rsidR="00F95200" w:rsidRDefault="00F95200">
      <w:pPr>
        <w:pStyle w:val="BodyText"/>
        <w:kinsoku w:val="0"/>
        <w:overflowPunct w:val="0"/>
        <w:spacing w:before="220" w:line="278" w:lineRule="auto"/>
        <w:ind w:left="660" w:right="793"/>
      </w:pPr>
      <w:r>
        <w:t>The resulting Crosswalk now identified the content of all the training programs and indicated, using a table format, how these compared to Standard 5. This Crosswalk is called Crosswalk – Requirements for Foodborne Illness Training Programs Based on Standard 5.</w:t>
      </w:r>
    </w:p>
    <w:p w:rsidR="00F95200" w:rsidRDefault="00F95200">
      <w:pPr>
        <w:pStyle w:val="BodyText"/>
        <w:kinsoku w:val="0"/>
        <w:overflowPunct w:val="0"/>
        <w:spacing w:before="190" w:line="276" w:lineRule="auto"/>
        <w:ind w:left="660" w:right="446"/>
      </w:pPr>
      <w:r>
        <w:t>The Committee also recognized that in the process of determining gaps the Crosswalk could now have an expanded purpose of (1) identifying available resources related to Foodborne Illness Training; (2) setting a content baseline for the development of Foodborne Illness Training Programs; (3) establishing some consistency for training programs as a whole. The Committee considered this a more powerful interpretation of the first Charge and as such did not include any references to best practices.</w:t>
      </w:r>
    </w:p>
    <w:p w:rsidR="00F95200" w:rsidRDefault="00F95200">
      <w:pPr>
        <w:pStyle w:val="BodyText"/>
        <w:kinsoku w:val="0"/>
        <w:overflowPunct w:val="0"/>
        <w:spacing w:before="190" w:line="276" w:lineRule="auto"/>
        <w:ind w:left="660" w:right="446"/>
        <w:sectPr w:rsidR="00F95200">
          <w:headerReference w:type="default" r:id="rId8"/>
          <w:footerReference w:type="default" r:id="rId9"/>
          <w:pgSz w:w="15840" w:h="12240" w:orient="landscape"/>
          <w:pgMar w:top="1140" w:right="860" w:bottom="1100" w:left="780" w:header="0" w:footer="909" w:gutter="0"/>
          <w:pgNumType w:start="1"/>
          <w:cols w:space="720"/>
          <w:noEndnote/>
        </w:sectPr>
      </w:pPr>
    </w:p>
    <w:p w:rsidR="00F95200" w:rsidRDefault="00F95200">
      <w:pPr>
        <w:pStyle w:val="BodyText"/>
        <w:kinsoku w:val="0"/>
        <w:overflowPunct w:val="0"/>
        <w:spacing w:before="8"/>
        <w:rPr>
          <w:sz w:val="17"/>
          <w:szCs w:val="17"/>
        </w:rPr>
      </w:pPr>
    </w:p>
    <w:p w:rsidR="00F95200" w:rsidRDefault="00F95200">
      <w:pPr>
        <w:pStyle w:val="BodyText"/>
        <w:kinsoku w:val="0"/>
        <w:overflowPunct w:val="0"/>
        <w:spacing w:before="92" w:line="276" w:lineRule="auto"/>
        <w:ind w:left="660" w:right="793"/>
      </w:pPr>
      <w:r>
        <w:t>The Committee also agreed that this document will be useful to regulators, academics and NGO’s when new training programs are being considered especially as it would introduce consistency, a much needed component in Foodborne Illness Training Programs.</w:t>
      </w:r>
    </w:p>
    <w:p w:rsidR="00F95200" w:rsidRDefault="00F95200">
      <w:pPr>
        <w:pStyle w:val="BodyText"/>
        <w:kinsoku w:val="0"/>
        <w:overflowPunct w:val="0"/>
        <w:spacing w:before="200" w:line="278" w:lineRule="auto"/>
        <w:ind w:left="660" w:right="793"/>
      </w:pPr>
      <w:r>
        <w:t xml:space="preserve">In 2016-2018, the Program Standards Committee (PSC) was now charged with maintaining the document. The </w:t>
      </w:r>
      <w:r w:rsidR="00CE48C4">
        <w:t>document was</w:t>
      </w:r>
      <w:r>
        <w:t xml:space="preserve"> updated with current references for the training materials.</w:t>
      </w:r>
    </w:p>
    <w:p w:rsidR="001269E1" w:rsidRDefault="001269E1" w:rsidP="001269E1">
      <w:pPr>
        <w:pStyle w:val="BodyText"/>
        <w:kinsoku w:val="0"/>
        <w:overflowPunct w:val="0"/>
        <w:spacing w:before="200" w:line="278" w:lineRule="auto"/>
        <w:ind w:left="660" w:right="793"/>
      </w:pPr>
      <w:r>
        <w:t>In 2018 – 2020, the PSC used this Crosswalk to identify essential education content of foodborne disease outbreak training programs and update the Crosswalk with additional information.</w:t>
      </w:r>
      <w:r w:rsidR="00CE48C4">
        <w:t xml:space="preserve"> Courses added to the document are CDC EHS e-Learning on Environmental Assessment of Foodborne Illness Outbreaks, FDA Food Related Emergency Exercise Bundle (FREE-B0, IS-305: Environmental Health Training in Emergency Response (EHTER) Awareness Level, NEHA Certified Foodborne Outbreak Investigator Credential (CFOI) and Integrated</w:t>
      </w:r>
      <w:bookmarkStart w:id="0" w:name="_GoBack"/>
      <w:bookmarkEnd w:id="0"/>
      <w:r w:rsidR="00CE48C4">
        <w:t xml:space="preserve"> Food Safety Center of Excellence (</w:t>
      </w:r>
      <w:proofErr w:type="spellStart"/>
      <w:r w:rsidR="00CE48C4">
        <w:t>CoE</w:t>
      </w:r>
      <w:proofErr w:type="spellEnd"/>
      <w:r w:rsidR="00CE48C4">
        <w:t>) Webinar Series.</w:t>
      </w:r>
    </w:p>
    <w:p w:rsidR="001269E1" w:rsidRDefault="001269E1" w:rsidP="001269E1">
      <w:pPr>
        <w:pStyle w:val="BodyText"/>
        <w:kinsoku w:val="0"/>
        <w:overflowPunct w:val="0"/>
        <w:spacing w:before="200" w:line="278" w:lineRule="auto"/>
        <w:ind w:left="660" w:right="793"/>
      </w:pPr>
      <w:r>
        <w:t>The resulting Crosswalk now identifies the content of all the training programs as indicated, using a table format, comparing them to Standard 5.</w:t>
      </w:r>
      <w:r w:rsidR="0036264A">
        <w:t xml:space="preserve"> In the interest of saving space, identified “Tools” that did not have a correlating “Reference” to the Standard 5 element being evaluated were removed from the Standard 5 element listing.</w:t>
      </w:r>
    </w:p>
    <w:p w:rsidR="001269E1" w:rsidRDefault="001269E1" w:rsidP="001269E1">
      <w:pPr>
        <w:pStyle w:val="BodyText"/>
        <w:kinsoku w:val="0"/>
        <w:overflowPunct w:val="0"/>
        <w:rPr>
          <w:sz w:val="26"/>
          <w:szCs w:val="26"/>
        </w:rPr>
      </w:pPr>
    </w:p>
    <w:p w:rsidR="001269E1" w:rsidRPr="001269E1" w:rsidRDefault="001269E1" w:rsidP="001269E1">
      <w:pPr>
        <w:pStyle w:val="BodyText"/>
        <w:kinsoku w:val="0"/>
        <w:overflowPunct w:val="0"/>
        <w:ind w:firstLine="660"/>
        <w:rPr>
          <w:sz w:val="26"/>
          <w:szCs w:val="26"/>
        </w:rPr>
      </w:pPr>
      <w:r w:rsidRPr="001269E1">
        <w:rPr>
          <w:sz w:val="26"/>
          <w:szCs w:val="26"/>
        </w:rPr>
        <w:t>Industry Related Sources</w:t>
      </w:r>
    </w:p>
    <w:p w:rsidR="001269E1" w:rsidRPr="001269E1" w:rsidRDefault="001269E1" w:rsidP="001269E1">
      <w:pPr>
        <w:pStyle w:val="BodyText"/>
        <w:kinsoku w:val="0"/>
        <w:overflowPunct w:val="0"/>
        <w:rPr>
          <w:sz w:val="26"/>
          <w:szCs w:val="26"/>
        </w:rPr>
      </w:pPr>
    </w:p>
    <w:p w:rsidR="00F95200" w:rsidRDefault="001269E1" w:rsidP="001269E1">
      <w:pPr>
        <w:pStyle w:val="BodyText"/>
        <w:kinsoku w:val="0"/>
        <w:overflowPunct w:val="0"/>
        <w:ind w:left="660"/>
        <w:rPr>
          <w:sz w:val="26"/>
          <w:szCs w:val="26"/>
        </w:rPr>
      </w:pPr>
      <w:r w:rsidRPr="001269E1">
        <w:rPr>
          <w:sz w:val="26"/>
          <w:szCs w:val="26"/>
        </w:rPr>
        <w:t xml:space="preserve">The </w:t>
      </w:r>
      <w:r>
        <w:rPr>
          <w:sz w:val="26"/>
          <w:szCs w:val="26"/>
        </w:rPr>
        <w:t>PSC</w:t>
      </w:r>
      <w:r w:rsidRPr="001269E1">
        <w:rPr>
          <w:sz w:val="26"/>
          <w:szCs w:val="26"/>
        </w:rPr>
        <w:t xml:space="preserve"> reached out to 50 industry food safety professionals </w:t>
      </w:r>
      <w:r>
        <w:rPr>
          <w:sz w:val="26"/>
          <w:szCs w:val="26"/>
        </w:rPr>
        <w:t xml:space="preserve">to determine whether or not any companies had developed their own internal training system for investigating foodborne illnesses. </w:t>
      </w:r>
      <w:r w:rsidRPr="001269E1">
        <w:rPr>
          <w:sz w:val="26"/>
          <w:szCs w:val="26"/>
        </w:rPr>
        <w:t>We were unable to find any company that have developed their own comprehensive internal training system for investigating foodborne illnesses.</w:t>
      </w:r>
      <w:r>
        <w:rPr>
          <w:sz w:val="26"/>
          <w:szCs w:val="26"/>
        </w:rPr>
        <w:t xml:space="preserve"> </w:t>
      </w:r>
      <w:r w:rsidRPr="001269E1">
        <w:rPr>
          <w:sz w:val="26"/>
          <w:szCs w:val="26"/>
        </w:rPr>
        <w:t xml:space="preserve">There are a variety of documents from public resources, such as from state and federal agencies to teach the basics of investigations. For the most part, the </w:t>
      </w:r>
      <w:r>
        <w:rPr>
          <w:sz w:val="26"/>
          <w:szCs w:val="26"/>
        </w:rPr>
        <w:t xml:space="preserve">PSC feels that </w:t>
      </w:r>
      <w:r w:rsidRPr="001269E1">
        <w:rPr>
          <w:sz w:val="26"/>
          <w:szCs w:val="26"/>
        </w:rPr>
        <w:t>industry needs to be knowledgeable enough to determine if the illness was related to the food that was served or sold and if there was a breakdown in safe food handling practices. Additionally, the industry needs to be as informed as the sanitarians or epidemiologists investigating the outbreak.</w:t>
      </w:r>
    </w:p>
    <w:p w:rsidR="00F95200" w:rsidRDefault="00F95200">
      <w:pPr>
        <w:pStyle w:val="BodyText"/>
        <w:kinsoku w:val="0"/>
        <w:overflowPunct w:val="0"/>
        <w:spacing w:before="170"/>
        <w:ind w:left="660"/>
      </w:pPr>
      <w:r>
        <w:rPr>
          <w:u w:val="single"/>
        </w:rPr>
        <w:t>Acronyms Used</w:t>
      </w:r>
      <w:r>
        <w:t>:</w:t>
      </w:r>
    </w:p>
    <w:p w:rsidR="00F95200" w:rsidRDefault="00F95200">
      <w:pPr>
        <w:pStyle w:val="BodyText"/>
        <w:kinsoku w:val="0"/>
        <w:overflowPunct w:val="0"/>
        <w:rPr>
          <w:sz w:val="16"/>
          <w:szCs w:val="16"/>
        </w:rPr>
      </w:pPr>
    </w:p>
    <w:p w:rsidR="00F95200" w:rsidRDefault="00F95200">
      <w:pPr>
        <w:pStyle w:val="BodyText"/>
        <w:kinsoku w:val="0"/>
        <w:overflowPunct w:val="0"/>
        <w:spacing w:before="92"/>
        <w:ind w:left="660"/>
      </w:pPr>
      <w:r w:rsidRPr="005C13F0">
        <w:rPr>
          <w:b/>
        </w:rPr>
        <w:t>RRT</w:t>
      </w:r>
      <w:r>
        <w:t>: Rapid Response Team</w:t>
      </w:r>
    </w:p>
    <w:p w:rsidR="00F95200" w:rsidRDefault="00F95200">
      <w:pPr>
        <w:pStyle w:val="BodyText"/>
        <w:kinsoku w:val="0"/>
        <w:overflowPunct w:val="0"/>
        <w:ind w:left="660" w:right="7090"/>
      </w:pPr>
      <w:r w:rsidRPr="005C13F0">
        <w:rPr>
          <w:b/>
        </w:rPr>
        <w:lastRenderedPageBreak/>
        <w:t>CIFOR</w:t>
      </w:r>
      <w:r>
        <w:t xml:space="preserve">: Council to Improve Foodborne Outbreak Response </w:t>
      </w:r>
      <w:r w:rsidRPr="005C13F0">
        <w:rPr>
          <w:b/>
        </w:rPr>
        <w:t>MFRPS</w:t>
      </w:r>
      <w:r>
        <w:t xml:space="preserve">: Manufactured Food Regulatory Program Standards </w:t>
      </w:r>
      <w:r w:rsidRPr="005C13F0">
        <w:rPr>
          <w:b/>
        </w:rPr>
        <w:t>IAFP</w:t>
      </w:r>
      <w:r>
        <w:t>: International Association of Food Protection</w:t>
      </w:r>
    </w:p>
    <w:p w:rsidR="00F95200" w:rsidRDefault="00F95200" w:rsidP="00CE48C4">
      <w:pPr>
        <w:pStyle w:val="BodyText"/>
        <w:kinsoku w:val="0"/>
        <w:overflowPunct w:val="0"/>
        <w:ind w:left="660" w:right="1240"/>
        <w:rPr>
          <w:color w:val="0000FF"/>
        </w:rPr>
      </w:pPr>
      <w:r w:rsidRPr="005C13F0">
        <w:rPr>
          <w:b/>
        </w:rPr>
        <w:t>NASDA</w:t>
      </w:r>
      <w:r>
        <w:t xml:space="preserve">: National Association of State Departments of Agriculture – Food Emergency Response Plan Template </w:t>
      </w:r>
      <w:r w:rsidR="00CE48C4" w:rsidRPr="00CE48C4">
        <w:t>https://www.nasda.org/policy/issues/food-safety/emergency-management/food-emergency-response-</w:t>
      </w:r>
      <w:r w:rsidR="00CE48C4">
        <w:t>p</w:t>
      </w:r>
      <w:r w:rsidR="00CE48C4" w:rsidRPr="00CE48C4">
        <w:t>lans</w:t>
      </w:r>
    </w:p>
    <w:p w:rsidR="00F95200" w:rsidRDefault="00F95200">
      <w:pPr>
        <w:pStyle w:val="BodyText"/>
        <w:kinsoku w:val="0"/>
        <w:overflowPunct w:val="0"/>
        <w:spacing w:before="1"/>
        <w:ind w:left="660"/>
      </w:pPr>
      <w:r w:rsidRPr="005C13F0">
        <w:rPr>
          <w:b/>
        </w:rPr>
        <w:t>NEHA Epi-Ready</w:t>
      </w:r>
      <w:r>
        <w:t>: National Environmental Health Association</w:t>
      </w:r>
    </w:p>
    <w:p w:rsidR="00F95200" w:rsidRDefault="00F95200">
      <w:pPr>
        <w:pStyle w:val="BodyText"/>
        <w:kinsoku w:val="0"/>
        <w:overflowPunct w:val="0"/>
        <w:ind w:left="660" w:right="4036"/>
      </w:pPr>
      <w:r w:rsidRPr="005C13F0">
        <w:rPr>
          <w:b/>
        </w:rPr>
        <w:t>NEHA I-FITT-RR</w:t>
      </w:r>
      <w:r>
        <w:t xml:space="preserve">: Industry-Foodborne Illness Investigation Training and Recall Response </w:t>
      </w:r>
      <w:r w:rsidRPr="005C13F0">
        <w:rPr>
          <w:b/>
        </w:rPr>
        <w:t>CDC</w:t>
      </w:r>
      <w:r>
        <w:t xml:space="preserve"> – Center for Disease Control</w:t>
      </w:r>
    </w:p>
    <w:p w:rsidR="00F95200" w:rsidRDefault="00F95200">
      <w:pPr>
        <w:pStyle w:val="BodyText"/>
        <w:kinsoku w:val="0"/>
        <w:overflowPunct w:val="0"/>
        <w:ind w:left="660"/>
      </w:pPr>
      <w:r w:rsidRPr="005C13F0">
        <w:rPr>
          <w:b/>
        </w:rPr>
        <w:t>VNRF</w:t>
      </w:r>
      <w:r w:rsidR="006C14FC">
        <w:rPr>
          <w:b/>
        </w:rPr>
        <w:t>R</w:t>
      </w:r>
      <w:r w:rsidRPr="005C13F0">
        <w:rPr>
          <w:b/>
        </w:rPr>
        <w:t>PS</w:t>
      </w:r>
      <w:r>
        <w:t>: Voluntary National Retail Food Regulatory Program Standards – Standard 5</w:t>
      </w:r>
    </w:p>
    <w:p w:rsidR="001269E1" w:rsidRDefault="001269E1" w:rsidP="001269E1">
      <w:pPr>
        <w:pStyle w:val="BodyText"/>
        <w:kinsoku w:val="0"/>
        <w:overflowPunct w:val="0"/>
        <w:ind w:left="660"/>
      </w:pPr>
      <w:r w:rsidRPr="006C14FC">
        <w:rPr>
          <w:b/>
        </w:rPr>
        <w:t>CDC EHS</w:t>
      </w:r>
      <w:r w:rsidR="006C14FC" w:rsidRPr="006C14FC">
        <w:t>:</w:t>
      </w:r>
      <w:r>
        <w:t xml:space="preserve">  Centers for Disease Control Environmental Health Specialist</w:t>
      </w:r>
    </w:p>
    <w:p w:rsidR="001269E1" w:rsidRDefault="001269E1" w:rsidP="001269E1">
      <w:pPr>
        <w:pStyle w:val="BodyText"/>
        <w:kinsoku w:val="0"/>
        <w:overflowPunct w:val="0"/>
        <w:ind w:left="660"/>
      </w:pPr>
      <w:r w:rsidRPr="006C14FC">
        <w:rPr>
          <w:b/>
        </w:rPr>
        <w:t>NEHA (CFOI)</w:t>
      </w:r>
      <w:r w:rsidR="006C14FC">
        <w:t xml:space="preserve">: National </w:t>
      </w:r>
      <w:r>
        <w:t>Environme</w:t>
      </w:r>
      <w:r w:rsidR="006C14FC">
        <w:t>n</w:t>
      </w:r>
      <w:r>
        <w:t>tal Health Association Certified Foodborne Outbreak Investigator credential *NOTE: The CFOI procedures relate to policies that are part of the exam for purposes of obtaining the credential. Therefore the applicability of the CFOI to Standard 5 is limited.</w:t>
      </w:r>
    </w:p>
    <w:p w:rsidR="001269E1" w:rsidRDefault="006C14FC" w:rsidP="001269E1">
      <w:pPr>
        <w:pStyle w:val="BodyText"/>
        <w:kinsoku w:val="0"/>
        <w:overflowPunct w:val="0"/>
        <w:ind w:left="660"/>
      </w:pPr>
      <w:r w:rsidRPr="006C14FC">
        <w:rPr>
          <w:b/>
        </w:rPr>
        <w:t>IFSCOE</w:t>
      </w:r>
      <w:r>
        <w:t>:</w:t>
      </w:r>
      <w:r w:rsidR="001269E1">
        <w:t xml:space="preserve"> Integrated F</w:t>
      </w:r>
      <w:r w:rsidR="002D36A7">
        <w:t>ood Safety Center of Excellence</w:t>
      </w:r>
    </w:p>
    <w:p w:rsidR="002D36A7" w:rsidRDefault="002D36A7" w:rsidP="001269E1">
      <w:pPr>
        <w:pStyle w:val="BodyText"/>
        <w:kinsoku w:val="0"/>
        <w:overflowPunct w:val="0"/>
        <w:ind w:left="660"/>
      </w:pPr>
      <w:proofErr w:type="spellStart"/>
      <w:r>
        <w:rPr>
          <w:b/>
        </w:rPr>
        <w:t>CoE</w:t>
      </w:r>
      <w:proofErr w:type="spellEnd"/>
      <w:r w:rsidRPr="002D36A7">
        <w:t>:</w:t>
      </w:r>
      <w:r>
        <w:t xml:space="preserve"> Center of Excellence</w:t>
      </w:r>
    </w:p>
    <w:p w:rsidR="001269E1" w:rsidRDefault="001269E1" w:rsidP="001269E1">
      <w:pPr>
        <w:pStyle w:val="BodyText"/>
        <w:kinsoku w:val="0"/>
        <w:overflowPunct w:val="0"/>
        <w:ind w:left="660"/>
      </w:pPr>
      <w:r w:rsidRPr="006C14FC">
        <w:rPr>
          <w:b/>
        </w:rPr>
        <w:t>EATS</w:t>
      </w:r>
      <w:r w:rsidR="006C14FC">
        <w:t xml:space="preserve">: </w:t>
      </w:r>
      <w:r>
        <w:t>Environmental Assessments Training Series - EATS 102 is a training program designed to reinforce the lessons learned in EATS 101 by providing 4 additional scenarios. The training does reinforce how to perform an environmental investigation and the roles for different team members. It does not necessarily provide written guidelines for a program to incorporate into their procedures.</w:t>
      </w:r>
    </w:p>
    <w:p w:rsidR="00F95200" w:rsidRDefault="001269E1" w:rsidP="001269E1">
      <w:pPr>
        <w:pStyle w:val="BodyText"/>
        <w:kinsoku w:val="0"/>
        <w:overflowPunct w:val="0"/>
        <w:ind w:left="660"/>
      </w:pPr>
      <w:r w:rsidRPr="006C14FC">
        <w:rPr>
          <w:b/>
        </w:rPr>
        <w:t>EHTER</w:t>
      </w:r>
      <w:r w:rsidR="006C14FC">
        <w:t>:</w:t>
      </w:r>
      <w:r>
        <w:t xml:space="preserve"> Environmental Health Training in Emergency Response **NOTE: EHTER is a face-to-face introductory course designed to provide an overview of potential environmental health topics and guidance that an EH professional may encounter in a disaster situation (primarily focused on natural disasters). It does not address foodborne illness.</w:t>
      </w:r>
    </w:p>
    <w:p w:rsidR="001269E1" w:rsidRDefault="001269E1" w:rsidP="001269E1">
      <w:pPr>
        <w:pStyle w:val="BodyText"/>
        <w:kinsoku w:val="0"/>
        <w:overflowPunct w:val="0"/>
        <w:ind w:left="660"/>
      </w:pPr>
    </w:p>
    <w:p w:rsidR="001269E1" w:rsidRDefault="001269E1" w:rsidP="001269E1">
      <w:pPr>
        <w:pStyle w:val="BodyText"/>
        <w:kinsoku w:val="0"/>
        <w:overflowPunct w:val="0"/>
      </w:pPr>
    </w:p>
    <w:p w:rsidR="001269E1" w:rsidRDefault="001269E1" w:rsidP="001269E1">
      <w:pPr>
        <w:pStyle w:val="BodyText"/>
        <w:kinsoku w:val="0"/>
        <w:overflowPunct w:val="0"/>
        <w:sectPr w:rsidR="001269E1">
          <w:pgSz w:w="15840" w:h="12240" w:orient="landscape"/>
          <w:pgMar w:top="1140" w:right="860" w:bottom="1180" w:left="780" w:header="0" w:footer="909" w:gutter="0"/>
          <w:cols w:space="720"/>
          <w:noEndnote/>
        </w:sectPr>
      </w:pPr>
    </w:p>
    <w:p w:rsidR="00F95200" w:rsidRDefault="00F95200">
      <w:pPr>
        <w:pStyle w:val="BodyText"/>
        <w:kinsoku w:val="0"/>
        <w:overflowPunct w:val="0"/>
        <w:rPr>
          <w:rFonts w:ascii="Times New Roman" w:hAnsi="Times New Roman" w:cs="Times New Roman"/>
          <w:sz w:val="20"/>
          <w:szCs w:val="20"/>
        </w:rPr>
      </w:pPr>
    </w:p>
    <w:p w:rsidR="00F95200" w:rsidRDefault="00F95200">
      <w:pPr>
        <w:pStyle w:val="BodyText"/>
        <w:kinsoku w:val="0"/>
        <w:overflowPunct w:val="0"/>
        <w:rPr>
          <w:rFonts w:ascii="Times New Roman" w:hAnsi="Times New Roman" w:cs="Times New Roman"/>
          <w:sz w:val="20"/>
          <w:szCs w:val="20"/>
        </w:rPr>
      </w:pPr>
    </w:p>
    <w:p w:rsidR="00F95200" w:rsidRDefault="00F95200">
      <w:pPr>
        <w:pStyle w:val="BodyText"/>
        <w:kinsoku w:val="0"/>
        <w:overflowPunct w:val="0"/>
        <w:rPr>
          <w:rFonts w:ascii="Times New Roman" w:hAnsi="Times New Roman" w:cs="Times New Roman"/>
          <w:sz w:val="20"/>
          <w:szCs w:val="20"/>
        </w:rPr>
      </w:pPr>
    </w:p>
    <w:p w:rsidR="00F95200" w:rsidRDefault="00F95200">
      <w:pPr>
        <w:pStyle w:val="BodyText"/>
        <w:kinsoku w:val="0"/>
        <w:overflowPunct w:val="0"/>
        <w:spacing w:before="2"/>
        <w:rPr>
          <w:rFonts w:ascii="Times New Roman" w:hAnsi="Times New Roman" w:cs="Times New Roman"/>
          <w:sz w:val="11"/>
          <w:szCs w:val="11"/>
        </w:rPr>
      </w:pPr>
    </w:p>
    <w:tbl>
      <w:tblPr>
        <w:tblStyle w:val="TableGrid"/>
        <w:tblW w:w="0" w:type="auto"/>
        <w:tblLook w:val="04A0" w:firstRow="1" w:lastRow="0" w:firstColumn="1" w:lastColumn="0" w:noHBand="0" w:noVBand="1"/>
      </w:tblPr>
      <w:tblGrid>
        <w:gridCol w:w="4675"/>
        <w:gridCol w:w="9203"/>
      </w:tblGrid>
      <w:tr w:rsidR="0036264A" w:rsidTr="0036264A">
        <w:tc>
          <w:tcPr>
            <w:tcW w:w="13878" w:type="dxa"/>
            <w:gridSpan w:val="2"/>
          </w:tcPr>
          <w:p w:rsidR="0036264A" w:rsidRDefault="0036264A" w:rsidP="00CE48C4">
            <w:r w:rsidRPr="00DF1271">
              <w:t>STANDARD 5 - Voluntary National Retail Food Regulatory Program Standards</w:t>
            </w:r>
          </w:p>
        </w:tc>
      </w:tr>
      <w:tr w:rsidR="0036264A" w:rsidTr="0036264A">
        <w:tc>
          <w:tcPr>
            <w:tcW w:w="13878" w:type="dxa"/>
            <w:gridSpan w:val="2"/>
            <w:tcBorders>
              <w:top w:val="single" w:sz="4" w:space="0" w:color="000000"/>
              <w:left w:val="single" w:sz="4" w:space="0" w:color="000000"/>
              <w:bottom w:val="single" w:sz="4" w:space="0" w:color="000000"/>
            </w:tcBorders>
            <w:shd w:val="clear" w:color="auto" w:fill="C0C0C0"/>
          </w:tcPr>
          <w:p w:rsidR="0036264A" w:rsidRDefault="0036264A" w:rsidP="00CE48C4">
            <w:r>
              <w:t>1. Investigative procedures.</w:t>
            </w:r>
          </w:p>
        </w:tc>
      </w:tr>
      <w:tr w:rsidR="0036264A" w:rsidTr="0036264A">
        <w:tc>
          <w:tcPr>
            <w:tcW w:w="13878" w:type="dxa"/>
            <w:gridSpan w:val="2"/>
            <w:shd w:val="clear" w:color="auto" w:fill="D9D9D9"/>
          </w:tcPr>
          <w:p w:rsidR="0036264A" w:rsidRDefault="0036264A" w:rsidP="00CE48C4">
            <w:r w:rsidRPr="00DF1271">
              <w:t>a. The program has written operating procedures for responding to and /or conducting investigations of foodborne illness and food- related injury*. The procedures clearly identify the roles, duties and responsibilities of program staff and how the program interacts with other relevant departments and agencies. The procedures may be contained in a single source document or in multiple documents.</w:t>
            </w:r>
          </w:p>
        </w:tc>
      </w:tr>
      <w:tr w:rsidR="0036264A" w:rsidTr="0036264A">
        <w:tc>
          <w:tcPr>
            <w:tcW w:w="4675" w:type="dxa"/>
            <w:tcBorders>
              <w:bottom w:val="thinThickThinSmallGap" w:sz="24" w:space="0" w:color="auto"/>
            </w:tcBorders>
          </w:tcPr>
          <w:p w:rsidR="0036264A" w:rsidRPr="009F40C6" w:rsidRDefault="0036264A" w:rsidP="00CE48C4">
            <w:pPr>
              <w:rPr>
                <w:b/>
              </w:rPr>
            </w:pPr>
            <w:r w:rsidRPr="009F40C6">
              <w:rPr>
                <w:b/>
              </w:rPr>
              <w:t>Tool</w:t>
            </w:r>
          </w:p>
        </w:tc>
        <w:tc>
          <w:tcPr>
            <w:tcW w:w="9203" w:type="dxa"/>
            <w:tcBorders>
              <w:bottom w:val="thinThickThinSmallGap" w:sz="24" w:space="0" w:color="auto"/>
            </w:tcBorders>
          </w:tcPr>
          <w:p w:rsidR="0036264A" w:rsidRPr="009F40C6" w:rsidRDefault="0036264A" w:rsidP="00CE48C4">
            <w:pPr>
              <w:rPr>
                <w:b/>
              </w:rPr>
            </w:pPr>
            <w:r w:rsidRPr="009F40C6">
              <w:rPr>
                <w:b/>
              </w:rPr>
              <w:t>Reference</w:t>
            </w:r>
          </w:p>
        </w:tc>
      </w:tr>
      <w:tr w:rsidR="0036264A" w:rsidTr="0036264A">
        <w:tc>
          <w:tcPr>
            <w:tcW w:w="4675" w:type="dxa"/>
            <w:tcBorders>
              <w:top w:val="thinThickThinSmallGap" w:sz="24" w:space="0" w:color="auto"/>
            </w:tcBorders>
          </w:tcPr>
          <w:p w:rsidR="0036264A" w:rsidRDefault="0036264A" w:rsidP="00CE48C4">
            <w:r>
              <w:t>RRT</w:t>
            </w:r>
          </w:p>
        </w:tc>
        <w:tc>
          <w:tcPr>
            <w:tcW w:w="9203" w:type="dxa"/>
            <w:tcBorders>
              <w:top w:val="thinThickThinSmallGap" w:sz="24" w:space="0" w:color="auto"/>
            </w:tcBorders>
          </w:tcPr>
          <w:p w:rsidR="0036264A" w:rsidRDefault="0036264A" w:rsidP="00CE48C4">
            <w:r>
              <w:t>II. A. Chapter 1</w:t>
            </w:r>
          </w:p>
        </w:tc>
      </w:tr>
      <w:tr w:rsidR="0036264A" w:rsidTr="0036264A">
        <w:tc>
          <w:tcPr>
            <w:tcW w:w="4675" w:type="dxa"/>
          </w:tcPr>
          <w:p w:rsidR="0036264A" w:rsidRDefault="0036264A" w:rsidP="00CE48C4">
            <w:r>
              <w:t>CIFOR</w:t>
            </w:r>
          </w:p>
        </w:tc>
        <w:tc>
          <w:tcPr>
            <w:tcW w:w="9203" w:type="dxa"/>
          </w:tcPr>
          <w:p w:rsidR="0036264A" w:rsidRDefault="0036264A" w:rsidP="00CE48C4">
            <w:r>
              <w:t>3.1</w:t>
            </w:r>
          </w:p>
        </w:tc>
      </w:tr>
      <w:tr w:rsidR="0036264A" w:rsidTr="0036264A">
        <w:tc>
          <w:tcPr>
            <w:tcW w:w="4675" w:type="dxa"/>
          </w:tcPr>
          <w:p w:rsidR="0036264A" w:rsidRDefault="0036264A" w:rsidP="00CE48C4">
            <w:r>
              <w:t>MFRPS</w:t>
            </w:r>
          </w:p>
        </w:tc>
        <w:tc>
          <w:tcPr>
            <w:tcW w:w="9203" w:type="dxa"/>
          </w:tcPr>
          <w:p w:rsidR="0036264A" w:rsidRDefault="0036264A" w:rsidP="00CE48C4">
            <w:r>
              <w:t>5.3</w:t>
            </w:r>
          </w:p>
        </w:tc>
      </w:tr>
      <w:tr w:rsidR="0036264A" w:rsidTr="0036264A">
        <w:tc>
          <w:tcPr>
            <w:tcW w:w="4675" w:type="dxa"/>
          </w:tcPr>
          <w:p w:rsidR="0036264A" w:rsidRDefault="0036264A" w:rsidP="00CE48C4">
            <w:r>
              <w:t>IAFP</w:t>
            </w:r>
          </w:p>
        </w:tc>
        <w:tc>
          <w:tcPr>
            <w:tcW w:w="9203" w:type="dxa"/>
          </w:tcPr>
          <w:p w:rsidR="0036264A" w:rsidRDefault="0036264A" w:rsidP="00CE48C4">
            <w:r w:rsidRPr="00DF1271">
              <w:t>Page 3-4</w:t>
            </w:r>
          </w:p>
        </w:tc>
      </w:tr>
      <w:tr w:rsidR="0036264A" w:rsidTr="0036264A">
        <w:tc>
          <w:tcPr>
            <w:tcW w:w="4675" w:type="dxa"/>
          </w:tcPr>
          <w:p w:rsidR="0036264A" w:rsidRDefault="0036264A" w:rsidP="00CE48C4">
            <w:r>
              <w:t>NASDA Version 4.0 August 2011</w:t>
            </w:r>
          </w:p>
        </w:tc>
        <w:tc>
          <w:tcPr>
            <w:tcW w:w="9203" w:type="dxa"/>
          </w:tcPr>
          <w:p w:rsidR="0036264A" w:rsidRDefault="0036264A" w:rsidP="00CE48C4">
            <w:r w:rsidRPr="00DF1271">
              <w:t>III, V, VI, VII, IX, X</w:t>
            </w:r>
          </w:p>
        </w:tc>
      </w:tr>
      <w:tr w:rsidR="0036264A" w:rsidTr="0036264A">
        <w:tc>
          <w:tcPr>
            <w:tcW w:w="4675" w:type="dxa"/>
          </w:tcPr>
          <w:p w:rsidR="0036264A" w:rsidRDefault="0036264A" w:rsidP="00CE48C4">
            <w:r>
              <w:t>NEHA Epi-</w:t>
            </w:r>
          </w:p>
          <w:p w:rsidR="0036264A" w:rsidRDefault="0036264A" w:rsidP="00CE48C4">
            <w:r>
              <w:t>Ready. Foodborne Illness Response</w:t>
            </w:r>
          </w:p>
          <w:p w:rsidR="0036264A" w:rsidRDefault="0036264A" w:rsidP="00CE48C4">
            <w:r>
              <w:t>Strategies. Edition 2012</w:t>
            </w:r>
          </w:p>
        </w:tc>
        <w:tc>
          <w:tcPr>
            <w:tcW w:w="9203" w:type="dxa"/>
          </w:tcPr>
          <w:p w:rsidR="0036264A" w:rsidRDefault="0036264A" w:rsidP="00CE48C4">
            <w:r>
              <w:t>Modules 1, 2,</w:t>
            </w:r>
          </w:p>
          <w:p w:rsidR="0036264A" w:rsidRDefault="0036264A" w:rsidP="00CE48C4">
            <w:r>
              <w:t>3, 4,5, 6, 7</w:t>
            </w:r>
          </w:p>
        </w:tc>
      </w:tr>
      <w:tr w:rsidR="0036264A" w:rsidTr="0036264A">
        <w:tc>
          <w:tcPr>
            <w:tcW w:w="4675" w:type="dxa"/>
          </w:tcPr>
          <w:p w:rsidR="0036264A" w:rsidRDefault="0036264A" w:rsidP="00CE48C4">
            <w:r>
              <w:t>NEHA</w:t>
            </w:r>
          </w:p>
          <w:p w:rsidR="0036264A" w:rsidRDefault="0036264A" w:rsidP="00CE48C4">
            <w:r>
              <w:t>I-FITT-RR</w:t>
            </w:r>
          </w:p>
        </w:tc>
        <w:tc>
          <w:tcPr>
            <w:tcW w:w="9203" w:type="dxa"/>
          </w:tcPr>
          <w:p w:rsidR="0036264A" w:rsidRDefault="0036264A" w:rsidP="00CE48C4">
            <w:r w:rsidRPr="00DF1271">
              <w:t>Module 1 Building a Partnership: Who and Why?</w:t>
            </w:r>
          </w:p>
        </w:tc>
      </w:tr>
      <w:tr w:rsidR="0036264A" w:rsidTr="0036264A">
        <w:tc>
          <w:tcPr>
            <w:tcW w:w="4675" w:type="dxa"/>
          </w:tcPr>
          <w:p w:rsidR="0036264A" w:rsidRDefault="0036264A" w:rsidP="00CE48C4">
            <w:r w:rsidRPr="00DF1271">
              <w:t>NEHA (CFOI)</w:t>
            </w:r>
          </w:p>
        </w:tc>
        <w:tc>
          <w:tcPr>
            <w:tcW w:w="9203" w:type="dxa"/>
          </w:tcPr>
          <w:p w:rsidR="0036264A" w:rsidRDefault="0036264A" w:rsidP="00CE48C4">
            <w:r w:rsidRPr="00DF1271">
              <w:t>*Performing Environmental Assessment</w:t>
            </w:r>
          </w:p>
        </w:tc>
      </w:tr>
      <w:tr w:rsidR="0036264A" w:rsidTr="0036264A">
        <w:tc>
          <w:tcPr>
            <w:tcW w:w="4675" w:type="dxa"/>
          </w:tcPr>
          <w:p w:rsidR="0036264A" w:rsidRDefault="0036264A" w:rsidP="00CE48C4">
            <w:r>
              <w:t>IFSCOE</w:t>
            </w:r>
          </w:p>
        </w:tc>
        <w:tc>
          <w:tcPr>
            <w:tcW w:w="9203" w:type="dxa"/>
          </w:tcPr>
          <w:p w:rsidR="0036264A" w:rsidRDefault="0036264A" w:rsidP="00CE48C4">
            <w:r w:rsidRPr="00DF1271">
              <w:t xml:space="preserve">The CoE’s are integral to quantitative analysis of foodborne illness investigation. The Crosswalk does more than simply identify the content of the training content but makes it easy to access track and verify through certification.  </w:t>
            </w:r>
          </w:p>
        </w:tc>
      </w:tr>
      <w:tr w:rsidR="0036264A" w:rsidTr="0036264A">
        <w:tc>
          <w:tcPr>
            <w:tcW w:w="4675" w:type="dxa"/>
          </w:tcPr>
          <w:p w:rsidR="0036264A" w:rsidRDefault="0036264A" w:rsidP="00CE48C4">
            <w:r>
              <w:t>EATS</w:t>
            </w:r>
          </w:p>
        </w:tc>
        <w:tc>
          <w:tcPr>
            <w:tcW w:w="9203" w:type="dxa"/>
          </w:tcPr>
          <w:p w:rsidR="0036264A" w:rsidRDefault="0036264A" w:rsidP="00CE48C4">
            <w:r w:rsidRPr="00DF1271">
              <w:t>Lessons 1-4. All four scenarios provide information on the roles and responsibilities of the investigation team in an outbreak.  The material is presented in an e-learning formatted and participants are not provided with written guidelines for further use.</w:t>
            </w:r>
          </w:p>
        </w:tc>
      </w:tr>
      <w:tr w:rsidR="0036264A" w:rsidTr="0036264A">
        <w:tc>
          <w:tcPr>
            <w:tcW w:w="4675" w:type="dxa"/>
          </w:tcPr>
          <w:p w:rsidR="0036264A" w:rsidRDefault="0036264A" w:rsidP="00CE48C4">
            <w:r>
              <w:t>Food Related Emergency Exercise Bundle (FREE)</w:t>
            </w:r>
          </w:p>
        </w:tc>
        <w:tc>
          <w:tcPr>
            <w:tcW w:w="9203" w:type="dxa"/>
          </w:tcPr>
          <w:p w:rsidR="0036264A" w:rsidRDefault="0036264A" w:rsidP="00CE48C4">
            <w:r w:rsidRPr="00DF1271">
              <w:t>Information contained in the Resource, Lead planner and Facilitator’s guidelines are provided depending on scenario</w:t>
            </w:r>
            <w:r>
              <w:t>.</w:t>
            </w:r>
          </w:p>
        </w:tc>
      </w:tr>
      <w:tr w:rsidR="0036264A" w:rsidTr="0036264A">
        <w:tc>
          <w:tcPr>
            <w:tcW w:w="13878" w:type="dxa"/>
            <w:gridSpan w:val="2"/>
            <w:shd w:val="clear" w:color="auto" w:fill="D9D9D9"/>
          </w:tcPr>
          <w:p w:rsidR="0036264A" w:rsidRDefault="0036264A" w:rsidP="00CE48C4">
            <w:r w:rsidRPr="00DF1271">
              <w:t>b. The program maintains contact lists for individuals, departments, and agencies that may be involved in the investigation of foodborne illness, food-related injury* or contamination of food.</w:t>
            </w:r>
          </w:p>
        </w:tc>
      </w:tr>
      <w:tr w:rsidR="0036264A" w:rsidRPr="009F40C6" w:rsidTr="0036264A">
        <w:tc>
          <w:tcPr>
            <w:tcW w:w="4675" w:type="dxa"/>
            <w:tcBorders>
              <w:bottom w:val="thinThickThinSmallGap" w:sz="24" w:space="0" w:color="auto"/>
            </w:tcBorders>
          </w:tcPr>
          <w:p w:rsidR="0036264A" w:rsidRPr="009F40C6" w:rsidRDefault="0036264A" w:rsidP="00CE48C4">
            <w:pPr>
              <w:rPr>
                <w:b/>
              </w:rPr>
            </w:pPr>
            <w:r w:rsidRPr="009F40C6">
              <w:rPr>
                <w:b/>
              </w:rPr>
              <w:t>Tool</w:t>
            </w:r>
          </w:p>
        </w:tc>
        <w:tc>
          <w:tcPr>
            <w:tcW w:w="9203" w:type="dxa"/>
            <w:tcBorders>
              <w:bottom w:val="thinThickThinSmallGap" w:sz="24" w:space="0" w:color="auto"/>
            </w:tcBorders>
          </w:tcPr>
          <w:p w:rsidR="0036264A" w:rsidRPr="009F40C6" w:rsidRDefault="0036264A" w:rsidP="00CE48C4">
            <w:pPr>
              <w:rPr>
                <w:b/>
              </w:rPr>
            </w:pPr>
            <w:r w:rsidRPr="009F40C6">
              <w:rPr>
                <w:b/>
              </w:rPr>
              <w:t>Reference</w:t>
            </w:r>
          </w:p>
        </w:tc>
      </w:tr>
      <w:tr w:rsidR="0036264A" w:rsidTr="0036264A">
        <w:tc>
          <w:tcPr>
            <w:tcW w:w="4675" w:type="dxa"/>
          </w:tcPr>
          <w:p w:rsidR="0036264A" w:rsidRDefault="0036264A" w:rsidP="00CE48C4">
            <w:r>
              <w:t>RRT</w:t>
            </w:r>
          </w:p>
        </w:tc>
        <w:tc>
          <w:tcPr>
            <w:tcW w:w="9203" w:type="dxa"/>
          </w:tcPr>
          <w:p w:rsidR="0036264A" w:rsidRDefault="0036264A" w:rsidP="00CE48C4">
            <w:r>
              <w:t>II.B.</w:t>
            </w:r>
          </w:p>
          <w:p w:rsidR="0036264A" w:rsidRDefault="0036264A" w:rsidP="00CE48C4">
            <w:r>
              <w:t>Chapters 2&amp;3</w:t>
            </w:r>
          </w:p>
        </w:tc>
      </w:tr>
      <w:tr w:rsidR="0036264A" w:rsidTr="0036264A">
        <w:tc>
          <w:tcPr>
            <w:tcW w:w="4675" w:type="dxa"/>
          </w:tcPr>
          <w:p w:rsidR="0036264A" w:rsidRDefault="0036264A" w:rsidP="00CE48C4">
            <w:r>
              <w:t>CIFOR</w:t>
            </w:r>
          </w:p>
        </w:tc>
        <w:tc>
          <w:tcPr>
            <w:tcW w:w="9203" w:type="dxa"/>
          </w:tcPr>
          <w:p w:rsidR="0036264A" w:rsidRDefault="0036264A" w:rsidP="00CE48C4">
            <w:r w:rsidRPr="00AA0334">
              <w:t>3.6.2.1</w:t>
            </w:r>
          </w:p>
        </w:tc>
      </w:tr>
      <w:tr w:rsidR="0036264A" w:rsidTr="0036264A">
        <w:tc>
          <w:tcPr>
            <w:tcW w:w="4675" w:type="dxa"/>
          </w:tcPr>
          <w:p w:rsidR="0036264A" w:rsidRDefault="0036264A" w:rsidP="00CE48C4">
            <w:r>
              <w:t>MFRPS</w:t>
            </w:r>
          </w:p>
        </w:tc>
        <w:tc>
          <w:tcPr>
            <w:tcW w:w="9203" w:type="dxa"/>
          </w:tcPr>
          <w:p w:rsidR="0036264A" w:rsidRDefault="0036264A" w:rsidP="00CE48C4">
            <w:r w:rsidRPr="00AA0334">
              <w:t>5.3.1.2.6</w:t>
            </w:r>
          </w:p>
        </w:tc>
      </w:tr>
      <w:tr w:rsidR="0036264A" w:rsidTr="0036264A">
        <w:tc>
          <w:tcPr>
            <w:tcW w:w="4675" w:type="dxa"/>
          </w:tcPr>
          <w:p w:rsidR="0036264A" w:rsidRDefault="0036264A" w:rsidP="00CE48C4">
            <w:r>
              <w:t>IAFP</w:t>
            </w:r>
          </w:p>
        </w:tc>
        <w:tc>
          <w:tcPr>
            <w:tcW w:w="9203" w:type="dxa"/>
          </w:tcPr>
          <w:p w:rsidR="0036264A" w:rsidRDefault="0036264A" w:rsidP="00CE48C4">
            <w:r w:rsidRPr="00AA0334">
              <w:t>Page3-4</w:t>
            </w:r>
          </w:p>
        </w:tc>
      </w:tr>
      <w:tr w:rsidR="0036264A" w:rsidTr="0036264A">
        <w:tc>
          <w:tcPr>
            <w:tcW w:w="4675" w:type="dxa"/>
          </w:tcPr>
          <w:p w:rsidR="0036264A" w:rsidRDefault="0036264A" w:rsidP="00CE48C4">
            <w:r>
              <w:t>NASDA Version 4.0 August 2011</w:t>
            </w:r>
          </w:p>
        </w:tc>
        <w:tc>
          <w:tcPr>
            <w:tcW w:w="9203" w:type="dxa"/>
          </w:tcPr>
          <w:p w:rsidR="0036264A" w:rsidRDefault="0036264A" w:rsidP="00CE48C4">
            <w:r w:rsidRPr="00AA0334">
              <w:t>VI, XIV</w:t>
            </w:r>
          </w:p>
        </w:tc>
      </w:tr>
      <w:tr w:rsidR="0036264A" w:rsidTr="0036264A">
        <w:tc>
          <w:tcPr>
            <w:tcW w:w="4675" w:type="dxa"/>
          </w:tcPr>
          <w:p w:rsidR="0036264A" w:rsidRDefault="0036264A" w:rsidP="00CE48C4">
            <w:r>
              <w:lastRenderedPageBreak/>
              <w:t>NEHA Epi-</w:t>
            </w:r>
          </w:p>
          <w:p w:rsidR="0036264A" w:rsidRDefault="0036264A" w:rsidP="00CE48C4">
            <w:r>
              <w:t>Ready. Foodborne Illness Response</w:t>
            </w:r>
          </w:p>
          <w:p w:rsidR="0036264A" w:rsidRDefault="0036264A" w:rsidP="00CE48C4">
            <w:r>
              <w:t>Strategies. Edition 2012</w:t>
            </w:r>
          </w:p>
        </w:tc>
        <w:tc>
          <w:tcPr>
            <w:tcW w:w="9203" w:type="dxa"/>
          </w:tcPr>
          <w:p w:rsidR="0036264A" w:rsidRDefault="0036264A" w:rsidP="00CE48C4">
            <w:r w:rsidRPr="00AA0334">
              <w:t>Module 1</w:t>
            </w:r>
          </w:p>
        </w:tc>
      </w:tr>
      <w:tr w:rsidR="0036264A" w:rsidTr="0036264A">
        <w:tc>
          <w:tcPr>
            <w:tcW w:w="4675" w:type="dxa"/>
          </w:tcPr>
          <w:p w:rsidR="0036264A" w:rsidRDefault="0036264A" w:rsidP="00CE48C4">
            <w:r>
              <w:t>NEHA</w:t>
            </w:r>
          </w:p>
          <w:p w:rsidR="0036264A" w:rsidRDefault="0036264A" w:rsidP="00CE48C4">
            <w:r>
              <w:t>I-FITT-RR</w:t>
            </w:r>
          </w:p>
        </w:tc>
        <w:tc>
          <w:tcPr>
            <w:tcW w:w="9203" w:type="dxa"/>
          </w:tcPr>
          <w:p w:rsidR="0036264A" w:rsidRDefault="0036264A" w:rsidP="00CE48C4">
            <w:r w:rsidRPr="00AA0334">
              <w:t>Module 1 Building a Partnership: Who and Why?</w:t>
            </w:r>
          </w:p>
        </w:tc>
      </w:tr>
      <w:tr w:rsidR="0036264A" w:rsidTr="0036264A">
        <w:tc>
          <w:tcPr>
            <w:tcW w:w="4675" w:type="dxa"/>
          </w:tcPr>
          <w:p w:rsidR="0036264A" w:rsidRDefault="0036264A" w:rsidP="00CE48C4">
            <w:r>
              <w:t>EATS</w:t>
            </w:r>
          </w:p>
        </w:tc>
        <w:tc>
          <w:tcPr>
            <w:tcW w:w="9203" w:type="dxa"/>
          </w:tcPr>
          <w:p w:rsidR="0036264A" w:rsidRDefault="0036264A" w:rsidP="00CE48C4">
            <w:r w:rsidRPr="00AA0334">
              <w:t xml:space="preserve">NEHA, in collaboration with CDC’s Environmental Health Services Branch, the National Network of Public Health Institutes (NNPHI), </w:t>
            </w:r>
            <w:proofErr w:type="gramStart"/>
            <w:r w:rsidRPr="00AA0334">
              <w:t>EATS</w:t>
            </w:r>
            <w:proofErr w:type="gramEnd"/>
            <w:r w:rsidRPr="00AA0334">
              <w:t xml:space="preserve"> provides training on the role of environmental assessments in the broader context of outbreak investigations and the food safety system.</w:t>
            </w:r>
          </w:p>
        </w:tc>
      </w:tr>
      <w:tr w:rsidR="0036264A" w:rsidTr="0036264A">
        <w:tc>
          <w:tcPr>
            <w:tcW w:w="4675" w:type="dxa"/>
          </w:tcPr>
          <w:p w:rsidR="0036264A" w:rsidRDefault="0036264A" w:rsidP="00CE48C4">
            <w:r>
              <w:t>Food Related Emergency Exercise Bundle (FREE)</w:t>
            </w:r>
          </w:p>
        </w:tc>
        <w:tc>
          <w:tcPr>
            <w:tcW w:w="9203" w:type="dxa"/>
          </w:tcPr>
          <w:p w:rsidR="0036264A" w:rsidRDefault="0036264A" w:rsidP="00CE48C4">
            <w:r w:rsidRPr="00AA0334">
              <w:t>Several of the scenarios provide contact lists for appropriate contacts on federal level, websites where key information can be gathered.</w:t>
            </w:r>
          </w:p>
        </w:tc>
      </w:tr>
      <w:tr w:rsidR="0036264A" w:rsidTr="0036264A">
        <w:tc>
          <w:tcPr>
            <w:tcW w:w="13878" w:type="dxa"/>
            <w:gridSpan w:val="2"/>
            <w:shd w:val="clear" w:color="auto" w:fill="D9D9D9"/>
          </w:tcPr>
          <w:p w:rsidR="0036264A" w:rsidRDefault="0036264A" w:rsidP="00CE48C4">
            <w:r w:rsidRPr="0075505D">
              <w:t>c. The program maintains a written operating procedure or a Memorandum of Understanding (MOU) with the appropriate epidemiological investigation program/department to conduct foodborne illness investigations and to report findings. The operating procedure or MOU clearly identifies the roles, duties, and responsibilities of each party.</w:t>
            </w:r>
          </w:p>
        </w:tc>
      </w:tr>
      <w:tr w:rsidR="0036264A" w:rsidRPr="009F40C6" w:rsidTr="0036264A">
        <w:tc>
          <w:tcPr>
            <w:tcW w:w="4675" w:type="dxa"/>
            <w:tcBorders>
              <w:bottom w:val="thinThickThinSmallGap" w:sz="24" w:space="0" w:color="auto"/>
            </w:tcBorders>
          </w:tcPr>
          <w:p w:rsidR="0036264A" w:rsidRPr="009F40C6" w:rsidRDefault="0036264A" w:rsidP="00CE48C4">
            <w:pPr>
              <w:rPr>
                <w:b/>
              </w:rPr>
            </w:pPr>
            <w:r w:rsidRPr="009F40C6">
              <w:rPr>
                <w:b/>
              </w:rPr>
              <w:t>Tool</w:t>
            </w:r>
          </w:p>
        </w:tc>
        <w:tc>
          <w:tcPr>
            <w:tcW w:w="9203" w:type="dxa"/>
            <w:tcBorders>
              <w:bottom w:val="thinThickThinSmallGap" w:sz="24" w:space="0" w:color="auto"/>
            </w:tcBorders>
          </w:tcPr>
          <w:p w:rsidR="0036264A" w:rsidRPr="009F40C6" w:rsidRDefault="0036264A" w:rsidP="00CE48C4">
            <w:pPr>
              <w:rPr>
                <w:b/>
              </w:rPr>
            </w:pPr>
            <w:r w:rsidRPr="009F40C6">
              <w:rPr>
                <w:b/>
              </w:rPr>
              <w:t>Reference</w:t>
            </w:r>
          </w:p>
        </w:tc>
      </w:tr>
      <w:tr w:rsidR="0036264A" w:rsidTr="0036264A">
        <w:tc>
          <w:tcPr>
            <w:tcW w:w="4675" w:type="dxa"/>
          </w:tcPr>
          <w:p w:rsidR="0036264A" w:rsidRDefault="0036264A" w:rsidP="00CE48C4">
            <w:r>
              <w:t>RRT</w:t>
            </w:r>
          </w:p>
        </w:tc>
        <w:tc>
          <w:tcPr>
            <w:tcW w:w="9203" w:type="dxa"/>
          </w:tcPr>
          <w:p w:rsidR="0036264A" w:rsidRDefault="0036264A" w:rsidP="00CE48C4">
            <w:r>
              <w:t>II.A.</w:t>
            </w:r>
          </w:p>
          <w:p w:rsidR="0036264A" w:rsidRDefault="0036264A" w:rsidP="00CE48C4">
            <w:r>
              <w:t>Chapter 1</w:t>
            </w:r>
          </w:p>
        </w:tc>
      </w:tr>
      <w:tr w:rsidR="0036264A" w:rsidTr="0036264A">
        <w:tc>
          <w:tcPr>
            <w:tcW w:w="4675" w:type="dxa"/>
          </w:tcPr>
          <w:p w:rsidR="0036264A" w:rsidRDefault="0036264A" w:rsidP="00CE48C4">
            <w:r>
              <w:t>CIFOR</w:t>
            </w:r>
          </w:p>
        </w:tc>
        <w:tc>
          <w:tcPr>
            <w:tcW w:w="9203" w:type="dxa"/>
          </w:tcPr>
          <w:p w:rsidR="0036264A" w:rsidRDefault="0036264A" w:rsidP="00CE48C4">
            <w:r w:rsidRPr="0075505D">
              <w:t>3.1</w:t>
            </w:r>
          </w:p>
        </w:tc>
      </w:tr>
      <w:tr w:rsidR="0036264A" w:rsidTr="0036264A">
        <w:tc>
          <w:tcPr>
            <w:tcW w:w="4675" w:type="dxa"/>
          </w:tcPr>
          <w:p w:rsidR="0036264A" w:rsidRDefault="0036264A" w:rsidP="00CE48C4">
            <w:r>
              <w:t>MFRPS</w:t>
            </w:r>
          </w:p>
        </w:tc>
        <w:tc>
          <w:tcPr>
            <w:tcW w:w="9203" w:type="dxa"/>
          </w:tcPr>
          <w:p w:rsidR="0036264A" w:rsidRDefault="0036264A" w:rsidP="00CE48C4">
            <w:r w:rsidRPr="0075505D">
              <w:t>5.3.1.1</w:t>
            </w:r>
          </w:p>
        </w:tc>
      </w:tr>
      <w:tr w:rsidR="0036264A" w:rsidTr="0036264A">
        <w:tc>
          <w:tcPr>
            <w:tcW w:w="4675" w:type="dxa"/>
          </w:tcPr>
          <w:p w:rsidR="0036264A" w:rsidRDefault="0036264A" w:rsidP="00CE48C4">
            <w:r>
              <w:t>NASDA Version 4.0 August 2011</w:t>
            </w:r>
          </w:p>
        </w:tc>
        <w:tc>
          <w:tcPr>
            <w:tcW w:w="9203" w:type="dxa"/>
          </w:tcPr>
          <w:p w:rsidR="0036264A" w:rsidRDefault="0036264A" w:rsidP="00CE48C4">
            <w:r w:rsidRPr="0075505D">
              <w:t>V, VI, IX, XIII</w:t>
            </w:r>
          </w:p>
        </w:tc>
      </w:tr>
      <w:tr w:rsidR="0036264A" w:rsidTr="0036264A">
        <w:tc>
          <w:tcPr>
            <w:tcW w:w="4675" w:type="dxa"/>
          </w:tcPr>
          <w:p w:rsidR="0036264A" w:rsidRDefault="0036264A" w:rsidP="00CE48C4">
            <w:r>
              <w:t>NEHA</w:t>
            </w:r>
          </w:p>
          <w:p w:rsidR="0036264A" w:rsidRDefault="0036264A" w:rsidP="00CE48C4">
            <w:r>
              <w:t>I-FITT-RR</w:t>
            </w:r>
          </w:p>
        </w:tc>
        <w:tc>
          <w:tcPr>
            <w:tcW w:w="9203" w:type="dxa"/>
          </w:tcPr>
          <w:p w:rsidR="0036264A" w:rsidRDefault="0036264A" w:rsidP="00CE48C4">
            <w:r>
              <w:t>Module 1 Building a Partnership: Who and Why?</w:t>
            </w:r>
          </w:p>
          <w:p w:rsidR="0036264A" w:rsidRDefault="0036264A" w:rsidP="00CE48C4">
            <w:r>
              <w:t>Module 4 Epidemiologic Investigation</w:t>
            </w:r>
          </w:p>
        </w:tc>
      </w:tr>
      <w:tr w:rsidR="0036264A" w:rsidTr="0036264A">
        <w:tc>
          <w:tcPr>
            <w:tcW w:w="4675" w:type="dxa"/>
          </w:tcPr>
          <w:p w:rsidR="0036264A" w:rsidRDefault="0036264A" w:rsidP="00CE48C4">
            <w:r>
              <w:t>IFSCOE</w:t>
            </w:r>
          </w:p>
        </w:tc>
        <w:tc>
          <w:tcPr>
            <w:tcW w:w="9203" w:type="dxa"/>
          </w:tcPr>
          <w:p w:rsidR="0036264A" w:rsidRDefault="0036264A" w:rsidP="00CE48C4">
            <w:r w:rsidRPr="0075505D">
              <w:t>The training</w:t>
            </w:r>
            <w:r>
              <w:t>s</w:t>
            </w:r>
            <w:r w:rsidRPr="0075505D">
              <w:t xml:space="preserve"> are subject based</w:t>
            </w:r>
            <w:r>
              <w:t>.</w:t>
            </w:r>
          </w:p>
        </w:tc>
      </w:tr>
      <w:tr w:rsidR="0036264A" w:rsidTr="0036264A">
        <w:tc>
          <w:tcPr>
            <w:tcW w:w="4675" w:type="dxa"/>
          </w:tcPr>
          <w:p w:rsidR="0036264A" w:rsidRDefault="0036264A" w:rsidP="00CE48C4">
            <w:r>
              <w:t>Food Related Emergency Exercise Bundle (FREE)</w:t>
            </w:r>
          </w:p>
        </w:tc>
        <w:tc>
          <w:tcPr>
            <w:tcW w:w="9203" w:type="dxa"/>
          </w:tcPr>
          <w:p w:rsidR="0036264A" w:rsidRDefault="0036264A" w:rsidP="00CE48C4">
            <w:r w:rsidRPr="0075505D">
              <w:t>The modules would help a jurisdiction to develop the MOU’s with the appropriate program/department.</w:t>
            </w:r>
          </w:p>
        </w:tc>
      </w:tr>
      <w:tr w:rsidR="0036264A" w:rsidTr="0036264A">
        <w:tc>
          <w:tcPr>
            <w:tcW w:w="13878" w:type="dxa"/>
            <w:gridSpan w:val="2"/>
            <w:shd w:val="clear" w:color="auto" w:fill="D9D9D9"/>
          </w:tcPr>
          <w:p w:rsidR="0036264A" w:rsidRDefault="0036264A" w:rsidP="00CE48C4">
            <w:r w:rsidRPr="0075505D">
              <w:t>d. The program maintains logs or databases for all complaints or referral reports from other sources alleging food-related illness, food-related injury* or intentional food contamination. The final disposition for each complaint is recorded in the log or database and is filed in or linked to the establishment record for retrieval purposes.</w:t>
            </w:r>
          </w:p>
        </w:tc>
      </w:tr>
      <w:tr w:rsidR="0036264A" w:rsidRPr="009F40C6" w:rsidTr="0036264A">
        <w:tc>
          <w:tcPr>
            <w:tcW w:w="4675" w:type="dxa"/>
            <w:tcBorders>
              <w:bottom w:val="thinThickThinSmallGap" w:sz="24" w:space="0" w:color="auto"/>
            </w:tcBorders>
          </w:tcPr>
          <w:p w:rsidR="0036264A" w:rsidRPr="009F40C6" w:rsidRDefault="0036264A" w:rsidP="00CE48C4">
            <w:pPr>
              <w:rPr>
                <w:b/>
              </w:rPr>
            </w:pPr>
            <w:r w:rsidRPr="009F40C6">
              <w:rPr>
                <w:b/>
              </w:rPr>
              <w:t>Tool</w:t>
            </w:r>
          </w:p>
        </w:tc>
        <w:tc>
          <w:tcPr>
            <w:tcW w:w="9203" w:type="dxa"/>
            <w:tcBorders>
              <w:bottom w:val="thinThickThinSmallGap" w:sz="24" w:space="0" w:color="auto"/>
            </w:tcBorders>
          </w:tcPr>
          <w:p w:rsidR="0036264A" w:rsidRPr="009F40C6" w:rsidRDefault="0036264A" w:rsidP="00CE48C4">
            <w:pPr>
              <w:rPr>
                <w:b/>
              </w:rPr>
            </w:pPr>
            <w:r w:rsidRPr="009F40C6">
              <w:rPr>
                <w:b/>
              </w:rPr>
              <w:t>Reference</w:t>
            </w:r>
          </w:p>
        </w:tc>
      </w:tr>
      <w:tr w:rsidR="0036264A" w:rsidTr="0036264A">
        <w:tc>
          <w:tcPr>
            <w:tcW w:w="4675" w:type="dxa"/>
          </w:tcPr>
          <w:p w:rsidR="0036264A" w:rsidRDefault="0036264A" w:rsidP="00CE48C4">
            <w:r>
              <w:t>RRT</w:t>
            </w:r>
          </w:p>
        </w:tc>
        <w:tc>
          <w:tcPr>
            <w:tcW w:w="9203" w:type="dxa"/>
          </w:tcPr>
          <w:p w:rsidR="0036264A" w:rsidRDefault="0036264A" w:rsidP="00CE48C4">
            <w:r>
              <w:t>II.E.</w:t>
            </w:r>
          </w:p>
          <w:p w:rsidR="0036264A" w:rsidRDefault="0036264A" w:rsidP="00CE48C4">
            <w:r>
              <w:t>Chapter 11</w:t>
            </w:r>
          </w:p>
        </w:tc>
      </w:tr>
      <w:tr w:rsidR="0036264A" w:rsidTr="0036264A">
        <w:tc>
          <w:tcPr>
            <w:tcW w:w="4675" w:type="dxa"/>
          </w:tcPr>
          <w:p w:rsidR="0036264A" w:rsidRDefault="0036264A" w:rsidP="00CE48C4">
            <w:r>
              <w:t>CIFOR</w:t>
            </w:r>
          </w:p>
        </w:tc>
        <w:tc>
          <w:tcPr>
            <w:tcW w:w="9203" w:type="dxa"/>
          </w:tcPr>
          <w:p w:rsidR="0036264A" w:rsidRDefault="0036264A" w:rsidP="00CE48C4">
            <w:r>
              <w:t>4.3.4.9</w:t>
            </w:r>
          </w:p>
        </w:tc>
      </w:tr>
      <w:tr w:rsidR="0036264A" w:rsidTr="0036264A">
        <w:tc>
          <w:tcPr>
            <w:tcW w:w="4675" w:type="dxa"/>
          </w:tcPr>
          <w:p w:rsidR="0036264A" w:rsidRDefault="0036264A" w:rsidP="00CE48C4">
            <w:r>
              <w:t>MFRPS</w:t>
            </w:r>
          </w:p>
        </w:tc>
        <w:tc>
          <w:tcPr>
            <w:tcW w:w="9203" w:type="dxa"/>
          </w:tcPr>
          <w:p w:rsidR="0036264A" w:rsidRDefault="0036264A" w:rsidP="00CE48C4">
            <w:r>
              <w:t>5.5</w:t>
            </w:r>
          </w:p>
        </w:tc>
      </w:tr>
      <w:tr w:rsidR="0036264A" w:rsidTr="0036264A">
        <w:tc>
          <w:tcPr>
            <w:tcW w:w="4675" w:type="dxa"/>
          </w:tcPr>
          <w:p w:rsidR="0036264A" w:rsidRDefault="0036264A" w:rsidP="00CE48C4">
            <w:r>
              <w:t>IAFP</w:t>
            </w:r>
          </w:p>
        </w:tc>
        <w:tc>
          <w:tcPr>
            <w:tcW w:w="9203" w:type="dxa"/>
          </w:tcPr>
          <w:p w:rsidR="0036264A" w:rsidRDefault="0036264A" w:rsidP="00CE48C4">
            <w:r w:rsidRPr="0075505D">
              <w:t>Page 2,3,4 Example logs: page 139-140</w:t>
            </w:r>
          </w:p>
        </w:tc>
      </w:tr>
      <w:tr w:rsidR="0036264A" w:rsidTr="0036264A">
        <w:tc>
          <w:tcPr>
            <w:tcW w:w="4675" w:type="dxa"/>
          </w:tcPr>
          <w:p w:rsidR="0036264A" w:rsidRDefault="0036264A" w:rsidP="00CE48C4">
            <w:r>
              <w:t>NASDA Version 4.0 August 2011</w:t>
            </w:r>
          </w:p>
        </w:tc>
        <w:tc>
          <w:tcPr>
            <w:tcW w:w="9203" w:type="dxa"/>
          </w:tcPr>
          <w:p w:rsidR="0036264A" w:rsidRDefault="0036264A" w:rsidP="00CE48C4"/>
        </w:tc>
      </w:tr>
      <w:tr w:rsidR="0036264A" w:rsidTr="0036264A">
        <w:tc>
          <w:tcPr>
            <w:tcW w:w="4675" w:type="dxa"/>
          </w:tcPr>
          <w:p w:rsidR="0036264A" w:rsidRDefault="0036264A" w:rsidP="00CE48C4">
            <w:r>
              <w:t>NEHA Epi-</w:t>
            </w:r>
          </w:p>
          <w:p w:rsidR="0036264A" w:rsidRDefault="0036264A" w:rsidP="00CE48C4">
            <w:r>
              <w:t>Ready. Foodborne Illness Response</w:t>
            </w:r>
          </w:p>
          <w:p w:rsidR="0036264A" w:rsidRDefault="0036264A" w:rsidP="00CE48C4">
            <w:r>
              <w:lastRenderedPageBreak/>
              <w:t>Strategies. Edition 2012</w:t>
            </w:r>
          </w:p>
        </w:tc>
        <w:tc>
          <w:tcPr>
            <w:tcW w:w="9203" w:type="dxa"/>
          </w:tcPr>
          <w:p w:rsidR="0036264A" w:rsidRDefault="0036264A" w:rsidP="00CE48C4">
            <w:r>
              <w:lastRenderedPageBreak/>
              <w:t>Module 2</w:t>
            </w:r>
          </w:p>
        </w:tc>
      </w:tr>
      <w:tr w:rsidR="0036264A" w:rsidTr="0036264A">
        <w:tc>
          <w:tcPr>
            <w:tcW w:w="4675" w:type="dxa"/>
          </w:tcPr>
          <w:p w:rsidR="0036264A" w:rsidRDefault="0036264A" w:rsidP="00CE48C4">
            <w:r>
              <w:t>NEHA</w:t>
            </w:r>
          </w:p>
          <w:p w:rsidR="0036264A" w:rsidRDefault="0036264A" w:rsidP="00CE48C4">
            <w:r>
              <w:t>I-FITT-RR</w:t>
            </w:r>
          </w:p>
        </w:tc>
        <w:tc>
          <w:tcPr>
            <w:tcW w:w="9203" w:type="dxa"/>
          </w:tcPr>
          <w:p w:rsidR="0036264A" w:rsidRDefault="0036264A" w:rsidP="00CE48C4">
            <w:r w:rsidRPr="0075505D">
              <w:t>Module 2 How Do You Recognize a Foodborne Illness?</w:t>
            </w:r>
          </w:p>
        </w:tc>
      </w:tr>
      <w:tr w:rsidR="0036264A" w:rsidTr="0036264A">
        <w:tc>
          <w:tcPr>
            <w:tcW w:w="4675" w:type="dxa"/>
          </w:tcPr>
          <w:p w:rsidR="0036264A" w:rsidRDefault="0036264A" w:rsidP="00CE48C4">
            <w:r>
              <w:t>IFSCOE</w:t>
            </w:r>
          </w:p>
        </w:tc>
        <w:tc>
          <w:tcPr>
            <w:tcW w:w="9203" w:type="dxa"/>
          </w:tcPr>
          <w:p w:rsidR="0036264A" w:rsidRDefault="0036264A" w:rsidP="00CE48C4">
            <w:r>
              <w:t>Yes</w:t>
            </w:r>
          </w:p>
        </w:tc>
      </w:tr>
      <w:tr w:rsidR="0036264A" w:rsidTr="0036264A">
        <w:tc>
          <w:tcPr>
            <w:tcW w:w="4675" w:type="dxa"/>
          </w:tcPr>
          <w:p w:rsidR="0036264A" w:rsidRDefault="0036264A" w:rsidP="00CE48C4">
            <w:r>
              <w:t>EHTER</w:t>
            </w:r>
          </w:p>
        </w:tc>
        <w:tc>
          <w:tcPr>
            <w:tcW w:w="9203" w:type="dxa"/>
          </w:tcPr>
          <w:p w:rsidR="0036264A" w:rsidRDefault="0036264A" w:rsidP="00CE48C4"/>
        </w:tc>
      </w:tr>
      <w:tr w:rsidR="0036264A" w:rsidTr="0036264A">
        <w:tc>
          <w:tcPr>
            <w:tcW w:w="4675" w:type="dxa"/>
          </w:tcPr>
          <w:p w:rsidR="0036264A" w:rsidRDefault="0036264A" w:rsidP="00CE48C4">
            <w:r>
              <w:t>Food Related Emergency Exercise Bundle (FREE)</w:t>
            </w:r>
          </w:p>
        </w:tc>
        <w:tc>
          <w:tcPr>
            <w:tcW w:w="9203" w:type="dxa"/>
          </w:tcPr>
          <w:p w:rsidR="0036264A" w:rsidRDefault="0036264A" w:rsidP="00CE48C4">
            <w:r w:rsidRPr="0075505D">
              <w:t>Similar logs or databases are used to facilitate discussion throughout several of the scenarios presented.</w:t>
            </w:r>
          </w:p>
        </w:tc>
      </w:tr>
      <w:tr w:rsidR="0036264A" w:rsidTr="0036264A">
        <w:tc>
          <w:tcPr>
            <w:tcW w:w="13878" w:type="dxa"/>
            <w:gridSpan w:val="2"/>
            <w:shd w:val="clear" w:color="auto" w:fill="D9D9D9"/>
          </w:tcPr>
          <w:p w:rsidR="0036264A" w:rsidRDefault="0036264A" w:rsidP="00CE48C4">
            <w:r w:rsidRPr="0075505D">
              <w:t>e. Program procedures describe the disposition, action or follow-up and reporting required for each type of complaint or referral report.</w:t>
            </w:r>
          </w:p>
        </w:tc>
      </w:tr>
      <w:tr w:rsidR="0036264A" w:rsidRPr="009F40C6" w:rsidTr="0036264A">
        <w:tc>
          <w:tcPr>
            <w:tcW w:w="4675" w:type="dxa"/>
            <w:tcBorders>
              <w:bottom w:val="thinThickThinSmallGap" w:sz="24" w:space="0" w:color="auto"/>
            </w:tcBorders>
          </w:tcPr>
          <w:p w:rsidR="0036264A" w:rsidRPr="009F40C6" w:rsidRDefault="0036264A" w:rsidP="00CE48C4">
            <w:pPr>
              <w:rPr>
                <w:b/>
              </w:rPr>
            </w:pPr>
            <w:r w:rsidRPr="009F40C6">
              <w:rPr>
                <w:b/>
              </w:rPr>
              <w:t>Tool</w:t>
            </w:r>
          </w:p>
        </w:tc>
        <w:tc>
          <w:tcPr>
            <w:tcW w:w="9203" w:type="dxa"/>
            <w:tcBorders>
              <w:bottom w:val="thinThickThinSmallGap" w:sz="24" w:space="0" w:color="auto"/>
            </w:tcBorders>
          </w:tcPr>
          <w:p w:rsidR="0036264A" w:rsidRPr="009F40C6" w:rsidRDefault="0036264A" w:rsidP="00CE48C4">
            <w:pPr>
              <w:rPr>
                <w:b/>
              </w:rPr>
            </w:pPr>
            <w:r w:rsidRPr="009F40C6">
              <w:rPr>
                <w:b/>
              </w:rPr>
              <w:t>Reference</w:t>
            </w:r>
          </w:p>
        </w:tc>
      </w:tr>
      <w:tr w:rsidR="0036264A" w:rsidTr="0036264A">
        <w:tc>
          <w:tcPr>
            <w:tcW w:w="4675" w:type="dxa"/>
          </w:tcPr>
          <w:p w:rsidR="0036264A" w:rsidRDefault="0036264A" w:rsidP="00CE48C4">
            <w:r>
              <w:t>RRT</w:t>
            </w:r>
          </w:p>
        </w:tc>
        <w:tc>
          <w:tcPr>
            <w:tcW w:w="9203" w:type="dxa"/>
          </w:tcPr>
          <w:p w:rsidR="0036264A" w:rsidRDefault="0036264A" w:rsidP="00CE48C4">
            <w:r>
              <w:t>Chapter 9, 10, 11 &amp; 13</w:t>
            </w:r>
          </w:p>
        </w:tc>
      </w:tr>
      <w:tr w:rsidR="0036264A" w:rsidTr="0036264A">
        <w:tc>
          <w:tcPr>
            <w:tcW w:w="4675" w:type="dxa"/>
          </w:tcPr>
          <w:p w:rsidR="0036264A" w:rsidRDefault="0036264A" w:rsidP="00CE48C4">
            <w:r>
              <w:t>CIFOR</w:t>
            </w:r>
          </w:p>
        </w:tc>
        <w:tc>
          <w:tcPr>
            <w:tcW w:w="9203" w:type="dxa"/>
          </w:tcPr>
          <w:p w:rsidR="0036264A" w:rsidRDefault="0036264A" w:rsidP="00CE48C4">
            <w:r>
              <w:t>Chapter 4, 4.3, Chapter 5</w:t>
            </w:r>
          </w:p>
        </w:tc>
      </w:tr>
      <w:tr w:rsidR="0036264A" w:rsidTr="0036264A">
        <w:tc>
          <w:tcPr>
            <w:tcW w:w="4675" w:type="dxa"/>
          </w:tcPr>
          <w:p w:rsidR="0036264A" w:rsidRDefault="0036264A" w:rsidP="00CE48C4">
            <w:r>
              <w:t>MFRPS</w:t>
            </w:r>
          </w:p>
        </w:tc>
        <w:tc>
          <w:tcPr>
            <w:tcW w:w="9203" w:type="dxa"/>
          </w:tcPr>
          <w:p w:rsidR="0036264A" w:rsidRDefault="0036264A" w:rsidP="00CE48C4">
            <w:r>
              <w:t>5.5</w:t>
            </w:r>
          </w:p>
        </w:tc>
      </w:tr>
      <w:tr w:rsidR="0036264A" w:rsidTr="0036264A">
        <w:tc>
          <w:tcPr>
            <w:tcW w:w="4675" w:type="dxa"/>
          </w:tcPr>
          <w:p w:rsidR="0036264A" w:rsidRDefault="0036264A" w:rsidP="00CE48C4">
            <w:r>
              <w:t>IAFP</w:t>
            </w:r>
          </w:p>
        </w:tc>
        <w:tc>
          <w:tcPr>
            <w:tcW w:w="9203" w:type="dxa"/>
          </w:tcPr>
          <w:p w:rsidR="0036264A" w:rsidRDefault="0036264A" w:rsidP="00CE48C4">
            <w:r w:rsidRPr="0075505D">
              <w:t>Page</w:t>
            </w:r>
            <w:r>
              <w:t xml:space="preserve"> </w:t>
            </w:r>
            <w:r w:rsidRPr="0075505D">
              <w:t>3-11</w:t>
            </w:r>
          </w:p>
        </w:tc>
      </w:tr>
      <w:tr w:rsidR="0036264A" w:rsidTr="0036264A">
        <w:tc>
          <w:tcPr>
            <w:tcW w:w="4675" w:type="dxa"/>
          </w:tcPr>
          <w:p w:rsidR="0036264A" w:rsidRDefault="0036264A" w:rsidP="00CE48C4">
            <w:r>
              <w:t>NASDA Version 4.0 August 2011</w:t>
            </w:r>
          </w:p>
        </w:tc>
        <w:tc>
          <w:tcPr>
            <w:tcW w:w="9203" w:type="dxa"/>
          </w:tcPr>
          <w:p w:rsidR="0036264A" w:rsidRDefault="0036264A" w:rsidP="00CE48C4">
            <w:r w:rsidRPr="0075505D">
              <w:t>VI, IX</w:t>
            </w:r>
          </w:p>
        </w:tc>
      </w:tr>
      <w:tr w:rsidR="0036264A" w:rsidTr="0036264A">
        <w:tc>
          <w:tcPr>
            <w:tcW w:w="4675" w:type="dxa"/>
          </w:tcPr>
          <w:p w:rsidR="0036264A" w:rsidRDefault="0036264A" w:rsidP="00CE48C4">
            <w:r>
              <w:t>NEHA Epi-</w:t>
            </w:r>
          </w:p>
          <w:p w:rsidR="0036264A" w:rsidRDefault="0036264A" w:rsidP="00CE48C4">
            <w:r>
              <w:t>Ready. Foodborne Illness Response</w:t>
            </w:r>
          </w:p>
          <w:p w:rsidR="0036264A" w:rsidRDefault="0036264A" w:rsidP="00CE48C4">
            <w:r>
              <w:t>Strategies. Edition 2012</w:t>
            </w:r>
          </w:p>
        </w:tc>
        <w:tc>
          <w:tcPr>
            <w:tcW w:w="9203" w:type="dxa"/>
          </w:tcPr>
          <w:p w:rsidR="0036264A" w:rsidRDefault="0036264A" w:rsidP="00CE48C4">
            <w:r>
              <w:t>Module 2</w:t>
            </w:r>
          </w:p>
        </w:tc>
      </w:tr>
      <w:tr w:rsidR="0036264A" w:rsidTr="0036264A">
        <w:tc>
          <w:tcPr>
            <w:tcW w:w="4675" w:type="dxa"/>
          </w:tcPr>
          <w:p w:rsidR="0036264A" w:rsidRDefault="0036264A" w:rsidP="00CE48C4">
            <w:r>
              <w:t>NEHA</w:t>
            </w:r>
          </w:p>
          <w:p w:rsidR="0036264A" w:rsidRDefault="0036264A" w:rsidP="00CE48C4">
            <w:r>
              <w:t>I-FITT-RR</w:t>
            </w:r>
          </w:p>
        </w:tc>
        <w:tc>
          <w:tcPr>
            <w:tcW w:w="9203" w:type="dxa"/>
          </w:tcPr>
          <w:p w:rsidR="0036264A" w:rsidRDefault="0036264A" w:rsidP="00CE48C4">
            <w:r w:rsidRPr="0075505D">
              <w:t>Module 2 How Do You Recognize a Foodborne Illness?</w:t>
            </w:r>
          </w:p>
        </w:tc>
      </w:tr>
      <w:tr w:rsidR="0036264A" w:rsidTr="0036264A">
        <w:tc>
          <w:tcPr>
            <w:tcW w:w="4675" w:type="dxa"/>
          </w:tcPr>
          <w:p w:rsidR="0036264A" w:rsidRDefault="0036264A" w:rsidP="00CE48C4">
            <w:r>
              <w:t>IFSCOE</w:t>
            </w:r>
          </w:p>
        </w:tc>
        <w:tc>
          <w:tcPr>
            <w:tcW w:w="9203" w:type="dxa"/>
          </w:tcPr>
          <w:p w:rsidR="0036264A" w:rsidRDefault="0036264A" w:rsidP="00CE48C4">
            <w:r w:rsidRPr="0075505D">
              <w:t>Yes the methodologies are covered in the COE</w:t>
            </w:r>
          </w:p>
        </w:tc>
      </w:tr>
      <w:tr w:rsidR="0036264A" w:rsidTr="0036264A">
        <w:tc>
          <w:tcPr>
            <w:tcW w:w="4675" w:type="dxa"/>
          </w:tcPr>
          <w:p w:rsidR="0036264A" w:rsidRDefault="0036264A" w:rsidP="00CE48C4">
            <w:r>
              <w:t>Food Related Emergency Exercise Bundle (FREE)</w:t>
            </w:r>
          </w:p>
        </w:tc>
        <w:tc>
          <w:tcPr>
            <w:tcW w:w="9203" w:type="dxa"/>
          </w:tcPr>
          <w:p w:rsidR="0036264A" w:rsidRDefault="0036264A" w:rsidP="00CE48C4">
            <w:r w:rsidRPr="0075505D">
              <w:t>Similar procedures are referenced throughout the scenarios</w:t>
            </w:r>
          </w:p>
        </w:tc>
      </w:tr>
      <w:tr w:rsidR="0036264A" w:rsidTr="0036264A">
        <w:tc>
          <w:tcPr>
            <w:tcW w:w="13878" w:type="dxa"/>
            <w:gridSpan w:val="2"/>
            <w:shd w:val="clear" w:color="auto" w:fill="D9D9D9"/>
          </w:tcPr>
          <w:p w:rsidR="0036264A" w:rsidRDefault="0036264A" w:rsidP="00CE48C4">
            <w:r>
              <w:t>f. Program procedures require disposition, action or follow-up on each complaint or referral report alleging food-related illness or injury within 24 hours.</w:t>
            </w:r>
          </w:p>
        </w:tc>
      </w:tr>
      <w:tr w:rsidR="0036264A" w:rsidRPr="009F40C6" w:rsidTr="0036264A">
        <w:tc>
          <w:tcPr>
            <w:tcW w:w="4675" w:type="dxa"/>
            <w:tcBorders>
              <w:bottom w:val="thinThickThinSmallGap" w:sz="24" w:space="0" w:color="auto"/>
            </w:tcBorders>
          </w:tcPr>
          <w:p w:rsidR="0036264A" w:rsidRPr="009F40C6" w:rsidRDefault="0036264A" w:rsidP="00CE48C4">
            <w:pPr>
              <w:rPr>
                <w:b/>
              </w:rPr>
            </w:pPr>
            <w:r w:rsidRPr="009F40C6">
              <w:rPr>
                <w:b/>
              </w:rPr>
              <w:t>Tool</w:t>
            </w:r>
          </w:p>
        </w:tc>
        <w:tc>
          <w:tcPr>
            <w:tcW w:w="9203" w:type="dxa"/>
            <w:tcBorders>
              <w:bottom w:val="thinThickThinSmallGap" w:sz="24" w:space="0" w:color="auto"/>
            </w:tcBorders>
          </w:tcPr>
          <w:p w:rsidR="0036264A" w:rsidRPr="009F40C6" w:rsidRDefault="0036264A" w:rsidP="00CE48C4">
            <w:pPr>
              <w:rPr>
                <w:b/>
              </w:rPr>
            </w:pPr>
            <w:r w:rsidRPr="009F40C6">
              <w:rPr>
                <w:b/>
              </w:rPr>
              <w:t>Reference</w:t>
            </w:r>
          </w:p>
        </w:tc>
      </w:tr>
      <w:tr w:rsidR="0036264A" w:rsidTr="0036264A">
        <w:tc>
          <w:tcPr>
            <w:tcW w:w="4675" w:type="dxa"/>
          </w:tcPr>
          <w:p w:rsidR="0036264A" w:rsidRDefault="0036264A" w:rsidP="00CE48C4">
            <w:r>
              <w:t>RRT</w:t>
            </w:r>
          </w:p>
        </w:tc>
        <w:tc>
          <w:tcPr>
            <w:tcW w:w="9203" w:type="dxa"/>
          </w:tcPr>
          <w:p w:rsidR="0036264A" w:rsidRDefault="0036264A" w:rsidP="00CE48C4">
            <w:r>
              <w:t>Chapters 9, 10, 11 &amp; 13 (pg.212)Subsection D</w:t>
            </w:r>
          </w:p>
        </w:tc>
      </w:tr>
      <w:tr w:rsidR="0036264A" w:rsidTr="0036264A">
        <w:tc>
          <w:tcPr>
            <w:tcW w:w="4675" w:type="dxa"/>
          </w:tcPr>
          <w:p w:rsidR="0036264A" w:rsidRDefault="0036264A" w:rsidP="00CE48C4">
            <w:r>
              <w:t>CIFOR</w:t>
            </w:r>
          </w:p>
        </w:tc>
        <w:tc>
          <w:tcPr>
            <w:tcW w:w="9203" w:type="dxa"/>
          </w:tcPr>
          <w:p w:rsidR="0036264A" w:rsidRDefault="0036264A" w:rsidP="00CE48C4">
            <w:r w:rsidRPr="000C0E3F">
              <w:t>Chapter 4,5</w:t>
            </w:r>
          </w:p>
        </w:tc>
      </w:tr>
      <w:tr w:rsidR="0036264A" w:rsidTr="0036264A">
        <w:tc>
          <w:tcPr>
            <w:tcW w:w="4675" w:type="dxa"/>
          </w:tcPr>
          <w:p w:rsidR="0036264A" w:rsidRDefault="0036264A" w:rsidP="00CE48C4">
            <w:r>
              <w:t>MFRPS</w:t>
            </w:r>
          </w:p>
        </w:tc>
        <w:tc>
          <w:tcPr>
            <w:tcW w:w="9203" w:type="dxa"/>
          </w:tcPr>
          <w:p w:rsidR="0036264A" w:rsidRDefault="0036264A" w:rsidP="00CE48C4">
            <w:r>
              <w:t>5.5</w:t>
            </w:r>
          </w:p>
        </w:tc>
      </w:tr>
      <w:tr w:rsidR="0036264A" w:rsidTr="0036264A">
        <w:tc>
          <w:tcPr>
            <w:tcW w:w="4675" w:type="dxa"/>
          </w:tcPr>
          <w:p w:rsidR="0036264A" w:rsidRDefault="0036264A" w:rsidP="00CE48C4">
            <w:r w:rsidRPr="00DF1271">
              <w:t>NEHA (CFOI)</w:t>
            </w:r>
          </w:p>
        </w:tc>
        <w:tc>
          <w:tcPr>
            <w:tcW w:w="9203" w:type="dxa"/>
          </w:tcPr>
          <w:p w:rsidR="0036264A" w:rsidRDefault="0036264A" w:rsidP="00CE48C4">
            <w:r w:rsidRPr="000C0E3F">
              <w:t>Detecting Outbreaks</w:t>
            </w:r>
          </w:p>
        </w:tc>
      </w:tr>
      <w:tr w:rsidR="0036264A" w:rsidTr="0036264A">
        <w:tc>
          <w:tcPr>
            <w:tcW w:w="13878" w:type="dxa"/>
            <w:gridSpan w:val="2"/>
            <w:shd w:val="clear" w:color="auto" w:fill="D9D9D9"/>
          </w:tcPr>
          <w:p w:rsidR="0036264A" w:rsidRDefault="0036264A" w:rsidP="00CE48C4">
            <w:r>
              <w:t>g. The program has established procedures and guidance for collecting information on the suspect food’s preparation, storage or handling during on-site investigations of food-related illness, food-related injury*, or outbreak investigations.</w:t>
            </w:r>
          </w:p>
        </w:tc>
      </w:tr>
      <w:tr w:rsidR="0036264A" w:rsidRPr="009F40C6" w:rsidTr="0036264A">
        <w:tc>
          <w:tcPr>
            <w:tcW w:w="4675" w:type="dxa"/>
            <w:tcBorders>
              <w:bottom w:val="thinThickThinSmallGap" w:sz="24" w:space="0" w:color="auto"/>
            </w:tcBorders>
          </w:tcPr>
          <w:p w:rsidR="0036264A" w:rsidRPr="009F40C6" w:rsidRDefault="0036264A" w:rsidP="00CE48C4">
            <w:pPr>
              <w:rPr>
                <w:b/>
              </w:rPr>
            </w:pPr>
            <w:r w:rsidRPr="009F40C6">
              <w:rPr>
                <w:b/>
              </w:rPr>
              <w:t>Tool</w:t>
            </w:r>
          </w:p>
        </w:tc>
        <w:tc>
          <w:tcPr>
            <w:tcW w:w="9203" w:type="dxa"/>
            <w:tcBorders>
              <w:bottom w:val="thinThickThinSmallGap" w:sz="24" w:space="0" w:color="auto"/>
            </w:tcBorders>
          </w:tcPr>
          <w:p w:rsidR="0036264A" w:rsidRPr="009F40C6" w:rsidRDefault="0036264A" w:rsidP="00CE48C4">
            <w:pPr>
              <w:rPr>
                <w:b/>
              </w:rPr>
            </w:pPr>
            <w:r w:rsidRPr="009F40C6">
              <w:rPr>
                <w:b/>
              </w:rPr>
              <w:t>Reference</w:t>
            </w:r>
          </w:p>
        </w:tc>
      </w:tr>
      <w:tr w:rsidR="0036264A" w:rsidTr="0036264A">
        <w:tc>
          <w:tcPr>
            <w:tcW w:w="4675" w:type="dxa"/>
          </w:tcPr>
          <w:p w:rsidR="0036264A" w:rsidRDefault="0036264A" w:rsidP="00CE48C4">
            <w:r>
              <w:t>RRT</w:t>
            </w:r>
          </w:p>
        </w:tc>
        <w:tc>
          <w:tcPr>
            <w:tcW w:w="9203" w:type="dxa"/>
          </w:tcPr>
          <w:p w:rsidR="0036264A" w:rsidRDefault="0036264A" w:rsidP="00CE48C4">
            <w:r>
              <w:t>Chapters 9,10, 11 &amp; 13 (Page 212) Subsection D</w:t>
            </w:r>
          </w:p>
        </w:tc>
      </w:tr>
      <w:tr w:rsidR="0036264A" w:rsidTr="0036264A">
        <w:tc>
          <w:tcPr>
            <w:tcW w:w="4675" w:type="dxa"/>
          </w:tcPr>
          <w:p w:rsidR="0036264A" w:rsidRDefault="0036264A" w:rsidP="00CE48C4">
            <w:r>
              <w:t>CIFOR</w:t>
            </w:r>
          </w:p>
        </w:tc>
        <w:tc>
          <w:tcPr>
            <w:tcW w:w="9203" w:type="dxa"/>
          </w:tcPr>
          <w:p w:rsidR="0036264A" w:rsidRDefault="0036264A" w:rsidP="00CE48C4">
            <w:r>
              <w:t>Chapter 4, 5</w:t>
            </w:r>
          </w:p>
        </w:tc>
      </w:tr>
      <w:tr w:rsidR="0036264A" w:rsidTr="0036264A">
        <w:tc>
          <w:tcPr>
            <w:tcW w:w="4675" w:type="dxa"/>
          </w:tcPr>
          <w:p w:rsidR="0036264A" w:rsidRDefault="0036264A" w:rsidP="00CE48C4">
            <w:r>
              <w:t>MFRPS</w:t>
            </w:r>
          </w:p>
        </w:tc>
        <w:tc>
          <w:tcPr>
            <w:tcW w:w="9203" w:type="dxa"/>
          </w:tcPr>
          <w:p w:rsidR="0036264A" w:rsidRDefault="0036264A" w:rsidP="00CE48C4">
            <w:r>
              <w:t>5.5</w:t>
            </w:r>
          </w:p>
        </w:tc>
      </w:tr>
      <w:tr w:rsidR="0036264A" w:rsidTr="0036264A">
        <w:tc>
          <w:tcPr>
            <w:tcW w:w="4675" w:type="dxa"/>
          </w:tcPr>
          <w:p w:rsidR="0036264A" w:rsidRDefault="0036264A" w:rsidP="00CE48C4">
            <w:r>
              <w:t>IAFP</w:t>
            </w:r>
          </w:p>
        </w:tc>
        <w:tc>
          <w:tcPr>
            <w:tcW w:w="9203" w:type="dxa"/>
          </w:tcPr>
          <w:p w:rsidR="0036264A" w:rsidRDefault="0036264A" w:rsidP="00CE48C4">
            <w:r>
              <w:t>Pages 41-45</w:t>
            </w:r>
          </w:p>
        </w:tc>
      </w:tr>
      <w:tr w:rsidR="0036264A" w:rsidTr="0036264A">
        <w:tc>
          <w:tcPr>
            <w:tcW w:w="4675" w:type="dxa"/>
          </w:tcPr>
          <w:p w:rsidR="0036264A" w:rsidRDefault="0036264A" w:rsidP="00CE48C4">
            <w:r>
              <w:t>NEHA Epi-</w:t>
            </w:r>
          </w:p>
          <w:p w:rsidR="0036264A" w:rsidRDefault="0036264A" w:rsidP="00CE48C4">
            <w:r>
              <w:lastRenderedPageBreak/>
              <w:t>Ready. Foodborne Illness Response</w:t>
            </w:r>
          </w:p>
          <w:p w:rsidR="0036264A" w:rsidRDefault="0036264A" w:rsidP="00CE48C4">
            <w:r>
              <w:t>Strategies. Edition 2012</w:t>
            </w:r>
          </w:p>
        </w:tc>
        <w:tc>
          <w:tcPr>
            <w:tcW w:w="9203" w:type="dxa"/>
          </w:tcPr>
          <w:p w:rsidR="0036264A" w:rsidRDefault="0036264A" w:rsidP="00CE48C4">
            <w:r>
              <w:lastRenderedPageBreak/>
              <w:t>Module 3, 5, 8</w:t>
            </w:r>
          </w:p>
        </w:tc>
      </w:tr>
      <w:tr w:rsidR="0036264A" w:rsidTr="0036264A">
        <w:tc>
          <w:tcPr>
            <w:tcW w:w="4675" w:type="dxa"/>
          </w:tcPr>
          <w:p w:rsidR="0036264A" w:rsidRDefault="0036264A" w:rsidP="00CE48C4">
            <w:r>
              <w:t>NEHA</w:t>
            </w:r>
          </w:p>
          <w:p w:rsidR="0036264A" w:rsidRDefault="0036264A" w:rsidP="00CE48C4">
            <w:r>
              <w:t>I-FITT-RR</w:t>
            </w:r>
          </w:p>
        </w:tc>
        <w:tc>
          <w:tcPr>
            <w:tcW w:w="9203" w:type="dxa"/>
          </w:tcPr>
          <w:p w:rsidR="0036264A" w:rsidRDefault="0036264A" w:rsidP="00CE48C4">
            <w:r>
              <w:t>Module 3 Environmental Assessment Exercise</w:t>
            </w:r>
          </w:p>
        </w:tc>
      </w:tr>
      <w:tr w:rsidR="0036264A" w:rsidTr="0036264A">
        <w:tc>
          <w:tcPr>
            <w:tcW w:w="4675" w:type="dxa"/>
          </w:tcPr>
          <w:p w:rsidR="0036264A" w:rsidRDefault="0036264A" w:rsidP="00CE48C4">
            <w:r>
              <w:t>CDC</w:t>
            </w:r>
          </w:p>
          <w:p w:rsidR="0036264A" w:rsidRDefault="0036264A" w:rsidP="00CE48C4">
            <w:r>
              <w:t>Foodborne Illness Outbreak Environmental Assessments</w:t>
            </w:r>
          </w:p>
        </w:tc>
        <w:tc>
          <w:tcPr>
            <w:tcW w:w="9203" w:type="dxa"/>
          </w:tcPr>
          <w:p w:rsidR="0036264A" w:rsidRDefault="0036264A" w:rsidP="00CE48C4">
            <w:r>
              <w:t>Lesson 4, 5</w:t>
            </w:r>
          </w:p>
        </w:tc>
      </w:tr>
      <w:tr w:rsidR="0036264A" w:rsidTr="0036264A">
        <w:tc>
          <w:tcPr>
            <w:tcW w:w="4675" w:type="dxa"/>
          </w:tcPr>
          <w:p w:rsidR="0036264A" w:rsidRDefault="0036264A" w:rsidP="00CE48C4">
            <w:r w:rsidRPr="00DF1271">
              <w:t>NEHA (CFOI)</w:t>
            </w:r>
          </w:p>
        </w:tc>
        <w:tc>
          <w:tcPr>
            <w:tcW w:w="9203" w:type="dxa"/>
          </w:tcPr>
          <w:p w:rsidR="0036264A" w:rsidRDefault="0036264A" w:rsidP="00CE48C4">
            <w:r w:rsidRPr="000C0E3F">
              <w:t>Performing Environmental Assessment</w:t>
            </w:r>
          </w:p>
        </w:tc>
      </w:tr>
      <w:tr w:rsidR="0036264A" w:rsidTr="0036264A">
        <w:tc>
          <w:tcPr>
            <w:tcW w:w="4675" w:type="dxa"/>
          </w:tcPr>
          <w:p w:rsidR="0036264A" w:rsidRDefault="0036264A" w:rsidP="00CE48C4">
            <w:r>
              <w:t>IFSCOE</w:t>
            </w:r>
          </w:p>
        </w:tc>
        <w:tc>
          <w:tcPr>
            <w:tcW w:w="9203" w:type="dxa"/>
          </w:tcPr>
          <w:p w:rsidR="0036264A" w:rsidRDefault="0036264A" w:rsidP="00CE48C4">
            <w:r>
              <w:t xml:space="preserve">Step 1: Detect a Possible Outbreak. </w:t>
            </w:r>
          </w:p>
          <w:p w:rsidR="0036264A" w:rsidRDefault="0036264A" w:rsidP="00CE48C4">
            <w:r>
              <w:t>Step 2: Define and Find Cases</w:t>
            </w:r>
          </w:p>
          <w:p w:rsidR="0036264A" w:rsidRDefault="0036264A" w:rsidP="00CE48C4">
            <w:r>
              <w:t>Step 3: Generate Hypotheses about Likely Sources</w:t>
            </w:r>
          </w:p>
          <w:p w:rsidR="0036264A" w:rsidRDefault="0036264A" w:rsidP="00CE48C4">
            <w:r>
              <w:t>Step 4: Test Hypotheses</w:t>
            </w:r>
          </w:p>
          <w:p w:rsidR="0036264A" w:rsidRDefault="0036264A" w:rsidP="00CE48C4">
            <w:r>
              <w:t>Step 5: Solve Point of Contamination and Source of the Food</w:t>
            </w:r>
          </w:p>
          <w:p w:rsidR="0036264A" w:rsidRDefault="0036264A" w:rsidP="00CE48C4">
            <w:r>
              <w:t>Step 6: Control an Outbreak</w:t>
            </w:r>
          </w:p>
          <w:p w:rsidR="0036264A" w:rsidRDefault="0036264A" w:rsidP="00CE48C4">
            <w:r>
              <w:t>Step 7: Decide an Outbreak is Over</w:t>
            </w:r>
          </w:p>
        </w:tc>
      </w:tr>
      <w:tr w:rsidR="0036264A" w:rsidTr="0036264A">
        <w:tc>
          <w:tcPr>
            <w:tcW w:w="4675" w:type="dxa"/>
          </w:tcPr>
          <w:p w:rsidR="0036264A" w:rsidRDefault="0036264A" w:rsidP="00CE48C4">
            <w:r>
              <w:t>EATS</w:t>
            </w:r>
          </w:p>
        </w:tc>
        <w:tc>
          <w:tcPr>
            <w:tcW w:w="9203" w:type="dxa"/>
          </w:tcPr>
          <w:p w:rsidR="0036264A" w:rsidRDefault="0036264A" w:rsidP="00CE48C4">
            <w:r w:rsidRPr="000C0E3F">
              <w:t>Lessons 1-4 provides guidance on what information to collect during on site evaluations.</w:t>
            </w:r>
          </w:p>
        </w:tc>
      </w:tr>
      <w:tr w:rsidR="0036264A" w:rsidTr="0036264A">
        <w:tc>
          <w:tcPr>
            <w:tcW w:w="4675" w:type="dxa"/>
          </w:tcPr>
          <w:p w:rsidR="0036264A" w:rsidRDefault="0036264A" w:rsidP="00CE48C4">
            <w:r>
              <w:t>Food Related Emergency Exercise Bundle (FREE)</w:t>
            </w:r>
          </w:p>
        </w:tc>
        <w:tc>
          <w:tcPr>
            <w:tcW w:w="9203" w:type="dxa"/>
          </w:tcPr>
          <w:p w:rsidR="0036264A" w:rsidRDefault="0036264A" w:rsidP="00CE48C4">
            <w:r w:rsidRPr="004F3728">
              <w:t>The established procedures are referenced and explained throughout several of the scenarios.</w:t>
            </w:r>
          </w:p>
        </w:tc>
      </w:tr>
      <w:tr w:rsidR="0036264A" w:rsidTr="0036264A">
        <w:tc>
          <w:tcPr>
            <w:tcW w:w="13878" w:type="dxa"/>
            <w:gridSpan w:val="2"/>
            <w:shd w:val="clear" w:color="auto" w:fill="D9D9D9"/>
          </w:tcPr>
          <w:p w:rsidR="0036264A" w:rsidRDefault="0036264A" w:rsidP="00CE48C4">
            <w:r w:rsidRPr="004F3728">
              <w:t>h. Program procedures provide guidance for immediate notification of appropriate law enforcement agencies if at any time intentional food contamination is suspected.</w:t>
            </w:r>
          </w:p>
        </w:tc>
      </w:tr>
      <w:tr w:rsidR="0036264A" w:rsidRPr="009F40C6" w:rsidTr="0036264A">
        <w:tc>
          <w:tcPr>
            <w:tcW w:w="4675" w:type="dxa"/>
            <w:tcBorders>
              <w:bottom w:val="thinThickThinSmallGap" w:sz="24" w:space="0" w:color="auto"/>
            </w:tcBorders>
          </w:tcPr>
          <w:p w:rsidR="0036264A" w:rsidRPr="009F40C6" w:rsidRDefault="0036264A" w:rsidP="00CE48C4">
            <w:pPr>
              <w:rPr>
                <w:b/>
              </w:rPr>
            </w:pPr>
            <w:r w:rsidRPr="009F40C6">
              <w:rPr>
                <w:b/>
              </w:rPr>
              <w:t>Tool</w:t>
            </w:r>
          </w:p>
        </w:tc>
        <w:tc>
          <w:tcPr>
            <w:tcW w:w="9203" w:type="dxa"/>
            <w:tcBorders>
              <w:bottom w:val="thinThickThinSmallGap" w:sz="24" w:space="0" w:color="auto"/>
            </w:tcBorders>
          </w:tcPr>
          <w:p w:rsidR="0036264A" w:rsidRPr="009F40C6" w:rsidRDefault="0036264A" w:rsidP="00CE48C4">
            <w:pPr>
              <w:rPr>
                <w:b/>
              </w:rPr>
            </w:pPr>
            <w:r w:rsidRPr="009F40C6">
              <w:rPr>
                <w:b/>
              </w:rPr>
              <w:t>Reference</w:t>
            </w:r>
          </w:p>
        </w:tc>
      </w:tr>
      <w:tr w:rsidR="0036264A" w:rsidTr="0036264A">
        <w:tc>
          <w:tcPr>
            <w:tcW w:w="4675" w:type="dxa"/>
          </w:tcPr>
          <w:p w:rsidR="0036264A" w:rsidRDefault="0036264A" w:rsidP="00CE48C4">
            <w:r>
              <w:t>RRT</w:t>
            </w:r>
          </w:p>
        </w:tc>
        <w:tc>
          <w:tcPr>
            <w:tcW w:w="9203" w:type="dxa"/>
          </w:tcPr>
          <w:p w:rsidR="0036264A" w:rsidRDefault="0036264A" w:rsidP="00CE48C4">
            <w:r>
              <w:t>Chapter 6, 10</w:t>
            </w:r>
          </w:p>
        </w:tc>
      </w:tr>
      <w:tr w:rsidR="0036264A" w:rsidTr="0036264A">
        <w:tc>
          <w:tcPr>
            <w:tcW w:w="4675" w:type="dxa"/>
          </w:tcPr>
          <w:p w:rsidR="0036264A" w:rsidRDefault="0036264A" w:rsidP="00CE48C4">
            <w:r>
              <w:t>CIFOR</w:t>
            </w:r>
          </w:p>
        </w:tc>
        <w:tc>
          <w:tcPr>
            <w:tcW w:w="9203" w:type="dxa"/>
          </w:tcPr>
          <w:p w:rsidR="0036264A" w:rsidRDefault="0036264A" w:rsidP="00CE48C4">
            <w:r>
              <w:t>3.1, 3.10, 6.3</w:t>
            </w:r>
          </w:p>
        </w:tc>
      </w:tr>
      <w:tr w:rsidR="0036264A" w:rsidTr="0036264A">
        <w:tc>
          <w:tcPr>
            <w:tcW w:w="4675" w:type="dxa"/>
          </w:tcPr>
          <w:p w:rsidR="0036264A" w:rsidRDefault="0036264A" w:rsidP="00CE48C4">
            <w:r>
              <w:t>MFRPS</w:t>
            </w:r>
          </w:p>
        </w:tc>
        <w:tc>
          <w:tcPr>
            <w:tcW w:w="9203" w:type="dxa"/>
          </w:tcPr>
          <w:p w:rsidR="0036264A" w:rsidRDefault="0036264A" w:rsidP="00CE48C4">
            <w:r>
              <w:t>5.5</w:t>
            </w:r>
          </w:p>
        </w:tc>
      </w:tr>
      <w:tr w:rsidR="0036264A" w:rsidTr="0036264A">
        <w:tc>
          <w:tcPr>
            <w:tcW w:w="4675" w:type="dxa"/>
          </w:tcPr>
          <w:p w:rsidR="0036264A" w:rsidRDefault="0036264A" w:rsidP="00CE48C4">
            <w:r>
              <w:t>IAFP</w:t>
            </w:r>
          </w:p>
        </w:tc>
        <w:tc>
          <w:tcPr>
            <w:tcW w:w="9203" w:type="dxa"/>
          </w:tcPr>
          <w:p w:rsidR="0036264A" w:rsidRDefault="0036264A" w:rsidP="00CE48C4">
            <w:r>
              <w:t>Pages 99-103</w:t>
            </w:r>
          </w:p>
        </w:tc>
      </w:tr>
      <w:tr w:rsidR="0036264A" w:rsidTr="0036264A">
        <w:tc>
          <w:tcPr>
            <w:tcW w:w="4675" w:type="dxa"/>
          </w:tcPr>
          <w:p w:rsidR="0036264A" w:rsidRDefault="0036264A" w:rsidP="00CE48C4">
            <w:r>
              <w:t>NASDA Version 4.0 August 2011</w:t>
            </w:r>
          </w:p>
        </w:tc>
        <w:tc>
          <w:tcPr>
            <w:tcW w:w="9203" w:type="dxa"/>
          </w:tcPr>
          <w:p w:rsidR="0036264A" w:rsidRDefault="0036264A" w:rsidP="00CE48C4">
            <w:r>
              <w:t>V, VI, IX</w:t>
            </w:r>
          </w:p>
        </w:tc>
      </w:tr>
      <w:tr w:rsidR="0036264A" w:rsidTr="0036264A">
        <w:tc>
          <w:tcPr>
            <w:tcW w:w="4675" w:type="dxa"/>
          </w:tcPr>
          <w:p w:rsidR="0036264A" w:rsidRDefault="0036264A" w:rsidP="00CE48C4">
            <w:r>
              <w:t>NEHA Epi-</w:t>
            </w:r>
          </w:p>
          <w:p w:rsidR="0036264A" w:rsidRDefault="0036264A" w:rsidP="00CE48C4">
            <w:r>
              <w:t>Ready. Foodborne Illness Response</w:t>
            </w:r>
          </w:p>
          <w:p w:rsidR="0036264A" w:rsidRDefault="0036264A" w:rsidP="00CE48C4">
            <w:r>
              <w:t>Strategies. Edition 2012</w:t>
            </w:r>
          </w:p>
        </w:tc>
        <w:tc>
          <w:tcPr>
            <w:tcW w:w="9203" w:type="dxa"/>
          </w:tcPr>
          <w:p w:rsidR="0036264A" w:rsidRDefault="0036264A" w:rsidP="00CE48C4">
            <w:r>
              <w:t>Module 7</w:t>
            </w:r>
          </w:p>
        </w:tc>
      </w:tr>
      <w:tr w:rsidR="0036264A" w:rsidTr="0036264A">
        <w:tc>
          <w:tcPr>
            <w:tcW w:w="4675" w:type="dxa"/>
          </w:tcPr>
          <w:p w:rsidR="0036264A" w:rsidRDefault="0036264A" w:rsidP="00CE48C4">
            <w:r>
              <w:t>Food Related Emergency Exercise Bundle (FREE)</w:t>
            </w:r>
          </w:p>
        </w:tc>
        <w:tc>
          <w:tcPr>
            <w:tcW w:w="9203" w:type="dxa"/>
          </w:tcPr>
          <w:p w:rsidR="0036264A" w:rsidRDefault="0036264A" w:rsidP="00CE48C4">
            <w:r w:rsidRPr="004F3728">
              <w:t>The established procedures are referenced and explained throughout several of the scenarios.</w:t>
            </w:r>
          </w:p>
        </w:tc>
      </w:tr>
      <w:tr w:rsidR="0036264A" w:rsidTr="0036264A">
        <w:tc>
          <w:tcPr>
            <w:tcW w:w="13878" w:type="dxa"/>
            <w:gridSpan w:val="2"/>
            <w:shd w:val="clear" w:color="auto" w:fill="D9D9D9"/>
          </w:tcPr>
          <w:p w:rsidR="0036264A" w:rsidRDefault="0036264A" w:rsidP="00CE48C4">
            <w:r>
              <w:t>i. Program procedures provide guidance for the notification of appropriate state and/or federal agencies when a complaint involves a product that originated outside the agency’s jurisdiction or has been shipped interstate.</w:t>
            </w:r>
          </w:p>
        </w:tc>
      </w:tr>
      <w:tr w:rsidR="0036264A" w:rsidRPr="009F40C6" w:rsidTr="0036264A">
        <w:tc>
          <w:tcPr>
            <w:tcW w:w="4675" w:type="dxa"/>
            <w:tcBorders>
              <w:bottom w:val="thinThickThinSmallGap" w:sz="24" w:space="0" w:color="auto"/>
            </w:tcBorders>
          </w:tcPr>
          <w:p w:rsidR="0036264A" w:rsidRPr="009F40C6" w:rsidRDefault="0036264A" w:rsidP="00CE48C4">
            <w:pPr>
              <w:rPr>
                <w:b/>
              </w:rPr>
            </w:pPr>
            <w:r w:rsidRPr="009F40C6">
              <w:rPr>
                <w:b/>
              </w:rPr>
              <w:t>Tool</w:t>
            </w:r>
          </w:p>
        </w:tc>
        <w:tc>
          <w:tcPr>
            <w:tcW w:w="9203" w:type="dxa"/>
            <w:tcBorders>
              <w:bottom w:val="thinThickThinSmallGap" w:sz="24" w:space="0" w:color="auto"/>
            </w:tcBorders>
          </w:tcPr>
          <w:p w:rsidR="0036264A" w:rsidRPr="009F40C6" w:rsidRDefault="0036264A" w:rsidP="00CE48C4">
            <w:pPr>
              <w:rPr>
                <w:b/>
              </w:rPr>
            </w:pPr>
            <w:r w:rsidRPr="009F40C6">
              <w:rPr>
                <w:b/>
              </w:rPr>
              <w:t>Reference</w:t>
            </w:r>
          </w:p>
        </w:tc>
      </w:tr>
      <w:tr w:rsidR="0036264A" w:rsidTr="0036264A">
        <w:tc>
          <w:tcPr>
            <w:tcW w:w="4675" w:type="dxa"/>
          </w:tcPr>
          <w:p w:rsidR="0036264A" w:rsidRDefault="0036264A" w:rsidP="00CE48C4">
            <w:r>
              <w:t>RRT</w:t>
            </w:r>
          </w:p>
        </w:tc>
        <w:tc>
          <w:tcPr>
            <w:tcW w:w="9203" w:type="dxa"/>
          </w:tcPr>
          <w:p w:rsidR="0036264A" w:rsidRDefault="0036264A" w:rsidP="00CE48C4">
            <w:r>
              <w:t>Chapter 6, 10</w:t>
            </w:r>
          </w:p>
        </w:tc>
      </w:tr>
      <w:tr w:rsidR="0036264A" w:rsidTr="0036264A">
        <w:tc>
          <w:tcPr>
            <w:tcW w:w="4675" w:type="dxa"/>
          </w:tcPr>
          <w:p w:rsidR="0036264A" w:rsidRDefault="0036264A" w:rsidP="00CE48C4">
            <w:r>
              <w:t>CIFOR</w:t>
            </w:r>
          </w:p>
        </w:tc>
        <w:tc>
          <w:tcPr>
            <w:tcW w:w="9203" w:type="dxa"/>
          </w:tcPr>
          <w:p w:rsidR="0036264A" w:rsidRDefault="0036264A" w:rsidP="00CE48C4">
            <w:r>
              <w:t>3.1, 3.10, 7.3</w:t>
            </w:r>
          </w:p>
        </w:tc>
      </w:tr>
      <w:tr w:rsidR="0036264A" w:rsidTr="0036264A">
        <w:tc>
          <w:tcPr>
            <w:tcW w:w="4675" w:type="dxa"/>
          </w:tcPr>
          <w:p w:rsidR="0036264A" w:rsidRDefault="0036264A" w:rsidP="00CE48C4">
            <w:r>
              <w:t>MFRPS</w:t>
            </w:r>
          </w:p>
        </w:tc>
        <w:tc>
          <w:tcPr>
            <w:tcW w:w="9203" w:type="dxa"/>
          </w:tcPr>
          <w:p w:rsidR="0036264A" w:rsidRDefault="0036264A" w:rsidP="00CE48C4">
            <w:r w:rsidRPr="004F3728">
              <w:t>5.3.1.2.2</w:t>
            </w:r>
          </w:p>
        </w:tc>
      </w:tr>
      <w:tr w:rsidR="0036264A" w:rsidTr="0036264A">
        <w:tc>
          <w:tcPr>
            <w:tcW w:w="4675" w:type="dxa"/>
          </w:tcPr>
          <w:p w:rsidR="0036264A" w:rsidRDefault="0036264A" w:rsidP="00CE48C4">
            <w:r>
              <w:lastRenderedPageBreak/>
              <w:t>IAFP</w:t>
            </w:r>
          </w:p>
        </w:tc>
        <w:tc>
          <w:tcPr>
            <w:tcW w:w="9203" w:type="dxa"/>
          </w:tcPr>
          <w:p w:rsidR="0036264A" w:rsidRDefault="0036264A" w:rsidP="00CE48C4">
            <w:r>
              <w:t>Pages 6-7</w:t>
            </w:r>
          </w:p>
        </w:tc>
      </w:tr>
      <w:tr w:rsidR="0036264A" w:rsidTr="0036264A">
        <w:tc>
          <w:tcPr>
            <w:tcW w:w="4675" w:type="dxa"/>
          </w:tcPr>
          <w:p w:rsidR="0036264A" w:rsidRDefault="0036264A" w:rsidP="00CE48C4">
            <w:r>
              <w:t>NASDA Version 4.0 August 2011</w:t>
            </w:r>
          </w:p>
        </w:tc>
        <w:tc>
          <w:tcPr>
            <w:tcW w:w="9203" w:type="dxa"/>
          </w:tcPr>
          <w:p w:rsidR="0036264A" w:rsidRDefault="0036264A" w:rsidP="00CE48C4">
            <w:r>
              <w:t>IV, V, VI, IX, XII, XV</w:t>
            </w:r>
          </w:p>
        </w:tc>
      </w:tr>
      <w:tr w:rsidR="0036264A" w:rsidTr="0036264A">
        <w:tc>
          <w:tcPr>
            <w:tcW w:w="4675" w:type="dxa"/>
          </w:tcPr>
          <w:p w:rsidR="0036264A" w:rsidRDefault="0036264A" w:rsidP="00CE48C4">
            <w:r>
              <w:t>NEHA Epi-</w:t>
            </w:r>
          </w:p>
          <w:p w:rsidR="0036264A" w:rsidRDefault="0036264A" w:rsidP="00CE48C4">
            <w:r>
              <w:t>Ready. Foodborne Illness Response</w:t>
            </w:r>
          </w:p>
          <w:p w:rsidR="0036264A" w:rsidRDefault="0036264A" w:rsidP="00CE48C4">
            <w:r>
              <w:t>Strategies. Edition 2012</w:t>
            </w:r>
          </w:p>
        </w:tc>
        <w:tc>
          <w:tcPr>
            <w:tcW w:w="9203" w:type="dxa"/>
          </w:tcPr>
          <w:p w:rsidR="0036264A" w:rsidRDefault="0036264A" w:rsidP="00CE48C4">
            <w:r>
              <w:t>Module 7</w:t>
            </w:r>
          </w:p>
        </w:tc>
      </w:tr>
      <w:tr w:rsidR="0036264A" w:rsidTr="0036264A">
        <w:tc>
          <w:tcPr>
            <w:tcW w:w="4675" w:type="dxa"/>
          </w:tcPr>
          <w:p w:rsidR="0036264A" w:rsidRDefault="0036264A" w:rsidP="00CE48C4">
            <w:r>
              <w:t>CDC</w:t>
            </w:r>
          </w:p>
          <w:p w:rsidR="0036264A" w:rsidRDefault="0036264A" w:rsidP="00CE48C4">
            <w:r>
              <w:t>Foodborne Illness Outbreak Environmental Assessments</w:t>
            </w:r>
          </w:p>
        </w:tc>
        <w:tc>
          <w:tcPr>
            <w:tcW w:w="9203" w:type="dxa"/>
          </w:tcPr>
          <w:p w:rsidR="0036264A" w:rsidRDefault="0036264A" w:rsidP="00CE48C4">
            <w:r>
              <w:t>Lesson 7</w:t>
            </w:r>
          </w:p>
        </w:tc>
      </w:tr>
      <w:tr w:rsidR="0036264A" w:rsidTr="0036264A">
        <w:tc>
          <w:tcPr>
            <w:tcW w:w="4675" w:type="dxa"/>
          </w:tcPr>
          <w:p w:rsidR="0036264A" w:rsidRDefault="0036264A" w:rsidP="00CE48C4">
            <w:r w:rsidRPr="00DF1271">
              <w:t>NEHA (CFOI)</w:t>
            </w:r>
          </w:p>
        </w:tc>
        <w:tc>
          <w:tcPr>
            <w:tcW w:w="9203" w:type="dxa"/>
          </w:tcPr>
          <w:p w:rsidR="0036264A" w:rsidRDefault="0036264A" w:rsidP="00CE48C4">
            <w:r>
              <w:t>Detecting Outbreaks</w:t>
            </w:r>
          </w:p>
        </w:tc>
      </w:tr>
      <w:tr w:rsidR="0036264A" w:rsidTr="0036264A">
        <w:tc>
          <w:tcPr>
            <w:tcW w:w="4675" w:type="dxa"/>
          </w:tcPr>
          <w:p w:rsidR="0036264A" w:rsidRDefault="0036264A" w:rsidP="00CE48C4">
            <w:r>
              <w:t>IFSCOE</w:t>
            </w:r>
          </w:p>
        </w:tc>
        <w:tc>
          <w:tcPr>
            <w:tcW w:w="9203" w:type="dxa"/>
          </w:tcPr>
          <w:p w:rsidR="0036264A" w:rsidRDefault="0036264A" w:rsidP="00CE48C4">
            <w:r w:rsidRPr="004F3728">
              <w:t>Colorado Integrated Food Safety Center of Excellence (</w:t>
            </w:r>
            <w:proofErr w:type="spellStart"/>
            <w:r w:rsidRPr="004F3728">
              <w:t>CoE</w:t>
            </w:r>
            <w:proofErr w:type="spellEnd"/>
            <w:r w:rsidRPr="004F3728">
              <w:t>)</w:t>
            </w:r>
            <w:r>
              <w:t xml:space="preserve">. </w:t>
            </w:r>
            <w:r w:rsidRPr="004F3728">
              <w:t xml:space="preserve"> The </w:t>
            </w:r>
            <w:r>
              <w:t>CoE’s</w:t>
            </w:r>
            <w:r w:rsidRPr="004F3728">
              <w:t xml:space="preserve"> identify and develop model practices in foodborne disease surveillance and outbreak response.</w:t>
            </w:r>
          </w:p>
        </w:tc>
      </w:tr>
      <w:tr w:rsidR="0036264A" w:rsidTr="0036264A">
        <w:tc>
          <w:tcPr>
            <w:tcW w:w="4675" w:type="dxa"/>
          </w:tcPr>
          <w:p w:rsidR="0036264A" w:rsidRDefault="0036264A" w:rsidP="00CE48C4">
            <w:r>
              <w:t>Food Related Emergency Exercise Bundle (FREE)</w:t>
            </w:r>
          </w:p>
        </w:tc>
        <w:tc>
          <w:tcPr>
            <w:tcW w:w="9203" w:type="dxa"/>
          </w:tcPr>
          <w:p w:rsidR="0036264A" w:rsidRDefault="0036264A" w:rsidP="00CE48C4">
            <w:r w:rsidRPr="004F3728">
              <w:t>The established procedures are referenced and explained throughout several of the scenarios.</w:t>
            </w:r>
          </w:p>
        </w:tc>
      </w:tr>
      <w:tr w:rsidR="0036264A" w:rsidTr="0036264A">
        <w:tc>
          <w:tcPr>
            <w:tcW w:w="13878" w:type="dxa"/>
            <w:gridSpan w:val="2"/>
            <w:shd w:val="clear" w:color="auto" w:fill="BFBFBF"/>
          </w:tcPr>
          <w:p w:rsidR="0036264A" w:rsidRDefault="0036264A" w:rsidP="00CE48C4">
            <w:r>
              <w:t>2. Reporting Procedures</w:t>
            </w:r>
          </w:p>
        </w:tc>
      </w:tr>
      <w:tr w:rsidR="0036264A" w:rsidTr="0036264A">
        <w:tc>
          <w:tcPr>
            <w:tcW w:w="13878" w:type="dxa"/>
            <w:gridSpan w:val="2"/>
            <w:shd w:val="clear" w:color="auto" w:fill="D9D9D9"/>
          </w:tcPr>
          <w:p w:rsidR="0036264A" w:rsidRDefault="0036264A" w:rsidP="00CE48C4">
            <w:r>
              <w:t>a. Possible contributing factors to the food-related illness, food-related injury* or intentional food contamination are identified in each on-site investigation report.</w:t>
            </w:r>
          </w:p>
        </w:tc>
      </w:tr>
      <w:tr w:rsidR="0036264A" w:rsidRPr="009F40C6" w:rsidTr="0036264A">
        <w:tc>
          <w:tcPr>
            <w:tcW w:w="4675" w:type="dxa"/>
            <w:tcBorders>
              <w:bottom w:val="thinThickThinSmallGap" w:sz="24" w:space="0" w:color="auto"/>
            </w:tcBorders>
          </w:tcPr>
          <w:p w:rsidR="0036264A" w:rsidRPr="009F40C6" w:rsidRDefault="0036264A" w:rsidP="00CE48C4">
            <w:pPr>
              <w:rPr>
                <w:b/>
              </w:rPr>
            </w:pPr>
            <w:r w:rsidRPr="009F40C6">
              <w:rPr>
                <w:b/>
              </w:rPr>
              <w:t>Tool</w:t>
            </w:r>
          </w:p>
        </w:tc>
        <w:tc>
          <w:tcPr>
            <w:tcW w:w="9203" w:type="dxa"/>
            <w:tcBorders>
              <w:bottom w:val="thinThickThinSmallGap" w:sz="24" w:space="0" w:color="auto"/>
            </w:tcBorders>
          </w:tcPr>
          <w:p w:rsidR="0036264A" w:rsidRPr="009F40C6" w:rsidRDefault="0036264A" w:rsidP="00CE48C4">
            <w:pPr>
              <w:rPr>
                <w:b/>
              </w:rPr>
            </w:pPr>
            <w:r w:rsidRPr="009F40C6">
              <w:rPr>
                <w:b/>
              </w:rPr>
              <w:t>Reference</w:t>
            </w:r>
          </w:p>
        </w:tc>
      </w:tr>
      <w:tr w:rsidR="0036264A" w:rsidTr="0036264A">
        <w:tc>
          <w:tcPr>
            <w:tcW w:w="4675" w:type="dxa"/>
          </w:tcPr>
          <w:p w:rsidR="0036264A" w:rsidRDefault="0036264A" w:rsidP="00CE48C4">
            <w:r>
              <w:t>RRT</w:t>
            </w:r>
          </w:p>
        </w:tc>
        <w:tc>
          <w:tcPr>
            <w:tcW w:w="9203" w:type="dxa"/>
          </w:tcPr>
          <w:p w:rsidR="0036264A" w:rsidRDefault="0036264A" w:rsidP="00CE48C4">
            <w:r>
              <w:t>Chapters 9, 10, 11</w:t>
            </w:r>
          </w:p>
        </w:tc>
      </w:tr>
      <w:tr w:rsidR="0036264A" w:rsidTr="0036264A">
        <w:tc>
          <w:tcPr>
            <w:tcW w:w="4675" w:type="dxa"/>
          </w:tcPr>
          <w:p w:rsidR="0036264A" w:rsidRDefault="0036264A" w:rsidP="00CE48C4">
            <w:r>
              <w:t>CIFOR</w:t>
            </w:r>
          </w:p>
        </w:tc>
        <w:tc>
          <w:tcPr>
            <w:tcW w:w="9203" w:type="dxa"/>
          </w:tcPr>
          <w:p w:rsidR="0036264A" w:rsidRDefault="0036264A" w:rsidP="00CE48C4">
            <w:r>
              <w:t>5.2</w:t>
            </w:r>
          </w:p>
        </w:tc>
      </w:tr>
      <w:tr w:rsidR="0036264A" w:rsidTr="0036264A">
        <w:tc>
          <w:tcPr>
            <w:tcW w:w="4675" w:type="dxa"/>
          </w:tcPr>
          <w:p w:rsidR="0036264A" w:rsidRDefault="0036264A" w:rsidP="00CE48C4">
            <w:r>
              <w:t>MFRPS</w:t>
            </w:r>
          </w:p>
        </w:tc>
        <w:tc>
          <w:tcPr>
            <w:tcW w:w="9203" w:type="dxa"/>
          </w:tcPr>
          <w:p w:rsidR="0036264A" w:rsidRDefault="0036264A" w:rsidP="00CE48C4">
            <w:r>
              <w:t>5.3</w:t>
            </w:r>
          </w:p>
        </w:tc>
      </w:tr>
      <w:tr w:rsidR="0036264A" w:rsidTr="0036264A">
        <w:tc>
          <w:tcPr>
            <w:tcW w:w="4675" w:type="dxa"/>
          </w:tcPr>
          <w:p w:rsidR="0036264A" w:rsidRDefault="0036264A" w:rsidP="00CE48C4">
            <w:r>
              <w:t>IAFP</w:t>
            </w:r>
          </w:p>
        </w:tc>
        <w:tc>
          <w:tcPr>
            <w:tcW w:w="9203" w:type="dxa"/>
          </w:tcPr>
          <w:p w:rsidR="0036264A" w:rsidRDefault="0036264A" w:rsidP="00CE48C4">
            <w:r>
              <w:t>Pages 34-41</w:t>
            </w:r>
          </w:p>
        </w:tc>
      </w:tr>
      <w:tr w:rsidR="0036264A" w:rsidTr="0036264A">
        <w:tc>
          <w:tcPr>
            <w:tcW w:w="4675" w:type="dxa"/>
          </w:tcPr>
          <w:p w:rsidR="0036264A" w:rsidRDefault="0036264A" w:rsidP="00CE48C4">
            <w:r>
              <w:t>NEHA Epi-</w:t>
            </w:r>
          </w:p>
          <w:p w:rsidR="0036264A" w:rsidRDefault="0036264A" w:rsidP="00CE48C4">
            <w:r>
              <w:t>Ready. Foodborne Illness Response</w:t>
            </w:r>
          </w:p>
          <w:p w:rsidR="0036264A" w:rsidRDefault="0036264A" w:rsidP="00CE48C4">
            <w:r>
              <w:t>Strategies. Edition 2012</w:t>
            </w:r>
          </w:p>
        </w:tc>
        <w:tc>
          <w:tcPr>
            <w:tcW w:w="9203" w:type="dxa"/>
          </w:tcPr>
          <w:p w:rsidR="0036264A" w:rsidRDefault="0036264A" w:rsidP="00CE48C4">
            <w:r>
              <w:t>Modules 5, 8</w:t>
            </w:r>
          </w:p>
        </w:tc>
      </w:tr>
      <w:tr w:rsidR="0036264A" w:rsidTr="0036264A">
        <w:tc>
          <w:tcPr>
            <w:tcW w:w="4675" w:type="dxa"/>
          </w:tcPr>
          <w:p w:rsidR="0036264A" w:rsidRDefault="0036264A" w:rsidP="00CE48C4">
            <w:r>
              <w:t>NEHA</w:t>
            </w:r>
          </w:p>
          <w:p w:rsidR="0036264A" w:rsidRDefault="0036264A" w:rsidP="00CE48C4">
            <w:r>
              <w:t>I-FITT-RR</w:t>
            </w:r>
          </w:p>
        </w:tc>
        <w:tc>
          <w:tcPr>
            <w:tcW w:w="9203" w:type="dxa"/>
          </w:tcPr>
          <w:p w:rsidR="0036264A" w:rsidRDefault="0036264A" w:rsidP="00CE48C4">
            <w:r>
              <w:t>Module 3 Environmental Assessment Exercise</w:t>
            </w:r>
          </w:p>
        </w:tc>
      </w:tr>
      <w:tr w:rsidR="0036264A" w:rsidTr="0036264A">
        <w:tc>
          <w:tcPr>
            <w:tcW w:w="4675" w:type="dxa"/>
          </w:tcPr>
          <w:p w:rsidR="0036264A" w:rsidRDefault="0036264A" w:rsidP="00CE48C4">
            <w:r>
              <w:t>CDC</w:t>
            </w:r>
          </w:p>
          <w:p w:rsidR="0036264A" w:rsidRDefault="0036264A" w:rsidP="00CE48C4">
            <w:r>
              <w:t>Foodborne Illness Outbreak Environmental Assessments</w:t>
            </w:r>
          </w:p>
        </w:tc>
        <w:tc>
          <w:tcPr>
            <w:tcW w:w="9203" w:type="dxa"/>
          </w:tcPr>
          <w:p w:rsidR="0036264A" w:rsidRDefault="0036264A" w:rsidP="00CE48C4">
            <w:r>
              <w:t>Lesson 2</w:t>
            </w:r>
          </w:p>
        </w:tc>
      </w:tr>
      <w:tr w:rsidR="0036264A" w:rsidTr="0036264A">
        <w:tc>
          <w:tcPr>
            <w:tcW w:w="4675" w:type="dxa"/>
          </w:tcPr>
          <w:p w:rsidR="0036264A" w:rsidRDefault="0036264A" w:rsidP="00CE48C4">
            <w:r w:rsidRPr="00DF1271">
              <w:t>NEHA (CFOI)</w:t>
            </w:r>
          </w:p>
        </w:tc>
        <w:tc>
          <w:tcPr>
            <w:tcW w:w="9203" w:type="dxa"/>
          </w:tcPr>
          <w:p w:rsidR="0036264A" w:rsidRDefault="0036264A" w:rsidP="00CE48C4">
            <w:r w:rsidRPr="004F3728">
              <w:t>Reviewing Investigation Findings</w:t>
            </w:r>
          </w:p>
        </w:tc>
      </w:tr>
      <w:tr w:rsidR="0036264A" w:rsidTr="0036264A">
        <w:tc>
          <w:tcPr>
            <w:tcW w:w="4675" w:type="dxa"/>
          </w:tcPr>
          <w:p w:rsidR="0036264A" w:rsidRDefault="0036264A" w:rsidP="00CE48C4">
            <w:r>
              <w:t>IFSCOE</w:t>
            </w:r>
          </w:p>
        </w:tc>
        <w:tc>
          <w:tcPr>
            <w:tcW w:w="9203" w:type="dxa"/>
          </w:tcPr>
          <w:p w:rsidR="0036264A" w:rsidRDefault="0036264A" w:rsidP="00CE48C4">
            <w:r w:rsidRPr="004F3728">
              <w:t>An example: Evaluation of Nebraska Foodborne Illness and Outbreak Response Using the Council to Improve Foodborne Outbreak and Response (CIFOR) Proposed Performance Measures 01/11/2017</w:t>
            </w:r>
          </w:p>
        </w:tc>
      </w:tr>
      <w:tr w:rsidR="0036264A" w:rsidTr="0036264A">
        <w:tc>
          <w:tcPr>
            <w:tcW w:w="4675" w:type="dxa"/>
          </w:tcPr>
          <w:p w:rsidR="0036264A" w:rsidRDefault="0036264A" w:rsidP="00CE48C4">
            <w:r>
              <w:t>EATS</w:t>
            </w:r>
          </w:p>
        </w:tc>
        <w:tc>
          <w:tcPr>
            <w:tcW w:w="9203" w:type="dxa"/>
          </w:tcPr>
          <w:p w:rsidR="0036264A" w:rsidRDefault="0036264A" w:rsidP="00CE48C4">
            <w:r w:rsidRPr="004F3728">
              <w:t>Lessons 1-4. The training focuses on understanding how the foodborne illness could have occurred and identifying the contributing factors.</w:t>
            </w:r>
          </w:p>
        </w:tc>
      </w:tr>
      <w:tr w:rsidR="0036264A" w:rsidTr="0036264A">
        <w:tc>
          <w:tcPr>
            <w:tcW w:w="4675" w:type="dxa"/>
          </w:tcPr>
          <w:p w:rsidR="0036264A" w:rsidRDefault="0036264A" w:rsidP="00CE48C4">
            <w:r>
              <w:t>Food Related Emergency Exercise Bundle (FREE)</w:t>
            </w:r>
          </w:p>
        </w:tc>
        <w:tc>
          <w:tcPr>
            <w:tcW w:w="9203" w:type="dxa"/>
          </w:tcPr>
          <w:p w:rsidR="0036264A" w:rsidRDefault="0036264A" w:rsidP="00CE48C4">
            <w:r w:rsidRPr="004F3728">
              <w:t>Covered under several modules detailing the foodborne illness investigation.</w:t>
            </w:r>
          </w:p>
        </w:tc>
      </w:tr>
      <w:tr w:rsidR="0036264A" w:rsidTr="0036264A">
        <w:tc>
          <w:tcPr>
            <w:tcW w:w="13878" w:type="dxa"/>
            <w:gridSpan w:val="2"/>
            <w:shd w:val="clear" w:color="auto" w:fill="D9D9D9"/>
          </w:tcPr>
          <w:p w:rsidR="0036264A" w:rsidRDefault="0036264A" w:rsidP="00CE48C4">
            <w:r>
              <w:t xml:space="preserve">b. The program shares final reports of investigations with the state epidemiologist and reports of confirmed foodborne disease outbreaks* </w:t>
            </w:r>
            <w:r>
              <w:lastRenderedPageBreak/>
              <w:t>with CDC.</w:t>
            </w:r>
          </w:p>
        </w:tc>
      </w:tr>
      <w:tr w:rsidR="0036264A" w:rsidRPr="009F40C6" w:rsidTr="0036264A">
        <w:tc>
          <w:tcPr>
            <w:tcW w:w="4675" w:type="dxa"/>
            <w:tcBorders>
              <w:bottom w:val="thinThickThinSmallGap" w:sz="24" w:space="0" w:color="auto"/>
            </w:tcBorders>
          </w:tcPr>
          <w:p w:rsidR="0036264A" w:rsidRPr="009F40C6" w:rsidRDefault="0036264A" w:rsidP="00CE48C4">
            <w:pPr>
              <w:rPr>
                <w:b/>
              </w:rPr>
            </w:pPr>
            <w:r w:rsidRPr="009F40C6">
              <w:rPr>
                <w:b/>
              </w:rPr>
              <w:lastRenderedPageBreak/>
              <w:t>Tool</w:t>
            </w:r>
          </w:p>
        </w:tc>
        <w:tc>
          <w:tcPr>
            <w:tcW w:w="9203" w:type="dxa"/>
            <w:tcBorders>
              <w:bottom w:val="thinThickThinSmallGap" w:sz="24" w:space="0" w:color="auto"/>
            </w:tcBorders>
          </w:tcPr>
          <w:p w:rsidR="0036264A" w:rsidRPr="009F40C6" w:rsidRDefault="0036264A" w:rsidP="00CE48C4">
            <w:pPr>
              <w:rPr>
                <w:b/>
              </w:rPr>
            </w:pPr>
            <w:r w:rsidRPr="009F40C6">
              <w:rPr>
                <w:b/>
              </w:rPr>
              <w:t>Reference</w:t>
            </w:r>
          </w:p>
        </w:tc>
      </w:tr>
      <w:tr w:rsidR="0036264A" w:rsidTr="0036264A">
        <w:tc>
          <w:tcPr>
            <w:tcW w:w="4675" w:type="dxa"/>
          </w:tcPr>
          <w:p w:rsidR="0036264A" w:rsidRDefault="0036264A" w:rsidP="00CE48C4">
            <w:r>
              <w:t>RRT</w:t>
            </w:r>
          </w:p>
        </w:tc>
        <w:tc>
          <w:tcPr>
            <w:tcW w:w="9203" w:type="dxa"/>
          </w:tcPr>
          <w:p w:rsidR="0036264A" w:rsidRDefault="0036264A" w:rsidP="00CE48C4">
            <w:r>
              <w:t>Chapters 3, 6, 13</w:t>
            </w:r>
          </w:p>
        </w:tc>
      </w:tr>
      <w:tr w:rsidR="0036264A" w:rsidTr="0036264A">
        <w:tc>
          <w:tcPr>
            <w:tcW w:w="4675" w:type="dxa"/>
          </w:tcPr>
          <w:p w:rsidR="0036264A" w:rsidRDefault="0036264A" w:rsidP="00CE48C4">
            <w:r>
              <w:t>CIFOR</w:t>
            </w:r>
          </w:p>
        </w:tc>
        <w:tc>
          <w:tcPr>
            <w:tcW w:w="9203" w:type="dxa"/>
          </w:tcPr>
          <w:p w:rsidR="0036264A" w:rsidRDefault="0036264A" w:rsidP="00CE48C4">
            <w:r>
              <w:t>4.2, 4.3, 4.4, 7.5, 9.1</w:t>
            </w:r>
          </w:p>
        </w:tc>
      </w:tr>
      <w:tr w:rsidR="0036264A" w:rsidTr="0036264A">
        <w:tc>
          <w:tcPr>
            <w:tcW w:w="4675" w:type="dxa"/>
          </w:tcPr>
          <w:p w:rsidR="0036264A" w:rsidRDefault="0036264A" w:rsidP="00CE48C4">
            <w:r>
              <w:t>MFRPS</w:t>
            </w:r>
          </w:p>
        </w:tc>
        <w:tc>
          <w:tcPr>
            <w:tcW w:w="9203" w:type="dxa"/>
          </w:tcPr>
          <w:p w:rsidR="0036264A" w:rsidRDefault="0036264A" w:rsidP="00CE48C4">
            <w:r>
              <w:t>5.5</w:t>
            </w:r>
          </w:p>
        </w:tc>
      </w:tr>
      <w:tr w:rsidR="0036264A" w:rsidTr="0036264A">
        <w:tc>
          <w:tcPr>
            <w:tcW w:w="4675" w:type="dxa"/>
          </w:tcPr>
          <w:p w:rsidR="0036264A" w:rsidRDefault="0036264A" w:rsidP="00CE48C4">
            <w:r>
              <w:t>IAFP</w:t>
            </w:r>
          </w:p>
        </w:tc>
        <w:tc>
          <w:tcPr>
            <w:tcW w:w="9203" w:type="dxa"/>
          </w:tcPr>
          <w:p w:rsidR="0036264A" w:rsidRDefault="0036264A" w:rsidP="00CE48C4">
            <w:r>
              <w:t>Page 75</w:t>
            </w:r>
          </w:p>
        </w:tc>
      </w:tr>
      <w:tr w:rsidR="0036264A" w:rsidTr="0036264A">
        <w:tc>
          <w:tcPr>
            <w:tcW w:w="4675" w:type="dxa"/>
          </w:tcPr>
          <w:p w:rsidR="0036264A" w:rsidRDefault="0036264A" w:rsidP="00CE48C4">
            <w:r>
              <w:t>NEHA Epi-</w:t>
            </w:r>
          </w:p>
          <w:p w:rsidR="0036264A" w:rsidRDefault="0036264A" w:rsidP="00CE48C4">
            <w:r>
              <w:t>Ready. Foodborne Illness Response</w:t>
            </w:r>
          </w:p>
          <w:p w:rsidR="0036264A" w:rsidRDefault="0036264A" w:rsidP="00CE48C4">
            <w:r>
              <w:t>Strategies. Edition 2012</w:t>
            </w:r>
          </w:p>
        </w:tc>
        <w:tc>
          <w:tcPr>
            <w:tcW w:w="9203" w:type="dxa"/>
          </w:tcPr>
          <w:p w:rsidR="0036264A" w:rsidRDefault="0036264A" w:rsidP="00CE48C4">
            <w:r>
              <w:t>Module 8</w:t>
            </w:r>
          </w:p>
        </w:tc>
      </w:tr>
      <w:tr w:rsidR="0036264A" w:rsidTr="0036264A">
        <w:tc>
          <w:tcPr>
            <w:tcW w:w="4675" w:type="dxa"/>
          </w:tcPr>
          <w:p w:rsidR="0036264A" w:rsidRDefault="0036264A" w:rsidP="00CE48C4">
            <w:r>
              <w:t>NEHA</w:t>
            </w:r>
          </w:p>
          <w:p w:rsidR="0036264A" w:rsidRDefault="0036264A" w:rsidP="00CE48C4">
            <w:r>
              <w:t>I-FITT-RR</w:t>
            </w:r>
          </w:p>
        </w:tc>
        <w:tc>
          <w:tcPr>
            <w:tcW w:w="9203" w:type="dxa"/>
          </w:tcPr>
          <w:p w:rsidR="0036264A" w:rsidRDefault="0036264A" w:rsidP="00CE48C4">
            <w:r>
              <w:t>Module 7 Final Report &amp; Recovery</w:t>
            </w:r>
          </w:p>
        </w:tc>
      </w:tr>
      <w:tr w:rsidR="0036264A" w:rsidTr="0036264A">
        <w:tc>
          <w:tcPr>
            <w:tcW w:w="4675" w:type="dxa"/>
          </w:tcPr>
          <w:p w:rsidR="0036264A" w:rsidRDefault="0036264A" w:rsidP="00CE48C4">
            <w:r>
              <w:t>CDC</w:t>
            </w:r>
          </w:p>
          <w:p w:rsidR="0036264A" w:rsidRDefault="0036264A" w:rsidP="00CE48C4">
            <w:r>
              <w:t>Foodborne Illness Outbreak Environmental Assessments</w:t>
            </w:r>
          </w:p>
        </w:tc>
        <w:tc>
          <w:tcPr>
            <w:tcW w:w="9203" w:type="dxa"/>
          </w:tcPr>
          <w:p w:rsidR="0036264A" w:rsidRDefault="0036264A" w:rsidP="00CE48C4">
            <w:r>
              <w:t>Lesson 8</w:t>
            </w:r>
          </w:p>
        </w:tc>
      </w:tr>
      <w:tr w:rsidR="0036264A" w:rsidTr="0036264A">
        <w:tc>
          <w:tcPr>
            <w:tcW w:w="4675" w:type="dxa"/>
          </w:tcPr>
          <w:p w:rsidR="0036264A" w:rsidRDefault="0036264A" w:rsidP="00CE48C4">
            <w:r>
              <w:t>IFSCOE</w:t>
            </w:r>
          </w:p>
        </w:tc>
        <w:tc>
          <w:tcPr>
            <w:tcW w:w="9203" w:type="dxa"/>
          </w:tcPr>
          <w:p w:rsidR="0036264A" w:rsidRDefault="0036264A" w:rsidP="00CE48C4">
            <w:r>
              <w:t>Yes</w:t>
            </w:r>
          </w:p>
        </w:tc>
      </w:tr>
      <w:tr w:rsidR="0036264A" w:rsidTr="0036264A">
        <w:tc>
          <w:tcPr>
            <w:tcW w:w="4675" w:type="dxa"/>
          </w:tcPr>
          <w:p w:rsidR="0036264A" w:rsidRDefault="0036264A" w:rsidP="00CE48C4">
            <w:r>
              <w:t>EATS</w:t>
            </w:r>
          </w:p>
        </w:tc>
        <w:tc>
          <w:tcPr>
            <w:tcW w:w="9203" w:type="dxa"/>
          </w:tcPr>
          <w:p w:rsidR="0036264A" w:rsidRDefault="0036264A" w:rsidP="00CE48C4">
            <w:r w:rsidRPr="004F3728">
              <w:t xml:space="preserve">Lessons 1-4. The training </w:t>
            </w:r>
            <w:r>
              <w:t>includes reporting on findings from the investigation</w:t>
            </w:r>
          </w:p>
        </w:tc>
      </w:tr>
      <w:tr w:rsidR="0036264A" w:rsidTr="0036264A">
        <w:tc>
          <w:tcPr>
            <w:tcW w:w="4675" w:type="dxa"/>
          </w:tcPr>
          <w:p w:rsidR="0036264A" w:rsidRDefault="0036264A" w:rsidP="00CE48C4">
            <w:r>
              <w:t>Food Related Emergency Exercise Bundle (FREE)</w:t>
            </w:r>
          </w:p>
        </w:tc>
        <w:tc>
          <w:tcPr>
            <w:tcW w:w="9203" w:type="dxa"/>
          </w:tcPr>
          <w:p w:rsidR="0036264A" w:rsidRDefault="0036264A" w:rsidP="00CE48C4">
            <w:r w:rsidRPr="002636C8">
              <w:t>Sharing of final reports is outlined within the scenarios</w:t>
            </w:r>
          </w:p>
        </w:tc>
      </w:tr>
      <w:tr w:rsidR="0036264A" w:rsidTr="0036264A">
        <w:tc>
          <w:tcPr>
            <w:tcW w:w="13878" w:type="dxa"/>
            <w:gridSpan w:val="2"/>
            <w:shd w:val="clear" w:color="auto" w:fill="BFBFBF"/>
          </w:tcPr>
          <w:p w:rsidR="0036264A" w:rsidRDefault="0036264A" w:rsidP="00CE48C4">
            <w:r>
              <w:t>3. Laboratory Support Documentation</w:t>
            </w:r>
          </w:p>
        </w:tc>
      </w:tr>
      <w:tr w:rsidR="0036264A" w:rsidTr="0036264A">
        <w:tc>
          <w:tcPr>
            <w:tcW w:w="13878" w:type="dxa"/>
            <w:gridSpan w:val="2"/>
            <w:shd w:val="clear" w:color="auto" w:fill="D9D9D9"/>
          </w:tcPr>
          <w:p w:rsidR="0036264A" w:rsidRDefault="0036264A" w:rsidP="00CE48C4">
            <w:r>
              <w:t>a. The program has a letter of understanding, written procedures, contract or MOU acknowledging, that a laboratory(s) is willing and able to provide analytical support to the jurisdiction’s food program. The documentation describes the type of biological, chemical, radiological contaminants or other food adulterants that can be identified by the laboratory. The laboratory support available includes the ability to conduct environmental sample analysis, food sample analysis, and clinical sample analysis.</w:t>
            </w:r>
          </w:p>
        </w:tc>
      </w:tr>
      <w:tr w:rsidR="0036264A" w:rsidRPr="009F40C6" w:rsidTr="0036264A">
        <w:tc>
          <w:tcPr>
            <w:tcW w:w="4675" w:type="dxa"/>
            <w:tcBorders>
              <w:bottom w:val="thinThickThinSmallGap" w:sz="24" w:space="0" w:color="auto"/>
            </w:tcBorders>
          </w:tcPr>
          <w:p w:rsidR="0036264A" w:rsidRPr="009F40C6" w:rsidRDefault="0036264A" w:rsidP="00CE48C4">
            <w:pPr>
              <w:rPr>
                <w:b/>
              </w:rPr>
            </w:pPr>
            <w:r w:rsidRPr="009F40C6">
              <w:rPr>
                <w:b/>
              </w:rPr>
              <w:t>Tool</w:t>
            </w:r>
          </w:p>
        </w:tc>
        <w:tc>
          <w:tcPr>
            <w:tcW w:w="9203" w:type="dxa"/>
            <w:tcBorders>
              <w:bottom w:val="thinThickThinSmallGap" w:sz="24" w:space="0" w:color="auto"/>
            </w:tcBorders>
          </w:tcPr>
          <w:p w:rsidR="0036264A" w:rsidRPr="009F40C6" w:rsidRDefault="0036264A" w:rsidP="00CE48C4">
            <w:pPr>
              <w:rPr>
                <w:b/>
              </w:rPr>
            </w:pPr>
            <w:r w:rsidRPr="009F40C6">
              <w:rPr>
                <w:b/>
              </w:rPr>
              <w:t>Reference</w:t>
            </w:r>
          </w:p>
        </w:tc>
      </w:tr>
      <w:tr w:rsidR="0036264A" w:rsidTr="0036264A">
        <w:tc>
          <w:tcPr>
            <w:tcW w:w="4675" w:type="dxa"/>
          </w:tcPr>
          <w:p w:rsidR="0036264A" w:rsidRDefault="0036264A" w:rsidP="00CE48C4">
            <w:r>
              <w:t>CIFOR</w:t>
            </w:r>
          </w:p>
        </w:tc>
        <w:tc>
          <w:tcPr>
            <w:tcW w:w="9203" w:type="dxa"/>
          </w:tcPr>
          <w:p w:rsidR="0036264A" w:rsidRDefault="0036264A" w:rsidP="00CE48C4">
            <w:r>
              <w:t>4.2, 4.3, 4.4, 9.1,</w:t>
            </w:r>
          </w:p>
        </w:tc>
      </w:tr>
      <w:tr w:rsidR="0036264A" w:rsidTr="0036264A">
        <w:tc>
          <w:tcPr>
            <w:tcW w:w="4675" w:type="dxa"/>
          </w:tcPr>
          <w:p w:rsidR="0036264A" w:rsidRDefault="0036264A" w:rsidP="00CE48C4">
            <w:r>
              <w:t>MFRPS</w:t>
            </w:r>
          </w:p>
        </w:tc>
        <w:tc>
          <w:tcPr>
            <w:tcW w:w="9203" w:type="dxa"/>
          </w:tcPr>
          <w:p w:rsidR="0036264A" w:rsidRDefault="0036264A" w:rsidP="00CE48C4">
            <w:r>
              <w:t>5.3.3.4</w:t>
            </w:r>
          </w:p>
        </w:tc>
      </w:tr>
      <w:tr w:rsidR="0036264A" w:rsidTr="0036264A">
        <w:tc>
          <w:tcPr>
            <w:tcW w:w="4675" w:type="dxa"/>
          </w:tcPr>
          <w:p w:rsidR="0036264A" w:rsidRDefault="0036264A" w:rsidP="00CE48C4">
            <w:r>
              <w:t>IAFP</w:t>
            </w:r>
          </w:p>
        </w:tc>
        <w:tc>
          <w:tcPr>
            <w:tcW w:w="9203" w:type="dxa"/>
          </w:tcPr>
          <w:p w:rsidR="0036264A" w:rsidRDefault="0036264A" w:rsidP="00CE48C4"/>
        </w:tc>
      </w:tr>
      <w:tr w:rsidR="0036264A" w:rsidTr="0036264A">
        <w:tc>
          <w:tcPr>
            <w:tcW w:w="4675" w:type="dxa"/>
          </w:tcPr>
          <w:p w:rsidR="0036264A" w:rsidRDefault="0036264A" w:rsidP="00CE48C4">
            <w:r>
              <w:t>NASDA Version 4.0 August 2011</w:t>
            </w:r>
          </w:p>
        </w:tc>
        <w:tc>
          <w:tcPr>
            <w:tcW w:w="9203" w:type="dxa"/>
          </w:tcPr>
          <w:p w:rsidR="0036264A" w:rsidRDefault="0036264A" w:rsidP="00CE48C4">
            <w:r>
              <w:t>VI</w:t>
            </w:r>
          </w:p>
        </w:tc>
      </w:tr>
      <w:tr w:rsidR="0036264A" w:rsidTr="0036264A">
        <w:tc>
          <w:tcPr>
            <w:tcW w:w="4675" w:type="dxa"/>
          </w:tcPr>
          <w:p w:rsidR="0036264A" w:rsidRDefault="0036264A" w:rsidP="00CE48C4">
            <w:r>
              <w:t>NEHA Epi-</w:t>
            </w:r>
          </w:p>
          <w:p w:rsidR="0036264A" w:rsidRDefault="0036264A" w:rsidP="00CE48C4">
            <w:r>
              <w:t>Ready. Foodborne Illness Response</w:t>
            </w:r>
          </w:p>
          <w:p w:rsidR="0036264A" w:rsidRDefault="0036264A" w:rsidP="00CE48C4">
            <w:r>
              <w:t>Strategies. Edition 2012</w:t>
            </w:r>
          </w:p>
        </w:tc>
        <w:tc>
          <w:tcPr>
            <w:tcW w:w="9203" w:type="dxa"/>
          </w:tcPr>
          <w:p w:rsidR="0036264A" w:rsidRDefault="0036264A" w:rsidP="00CE48C4">
            <w:r>
              <w:t>Modules 4 &amp; 5</w:t>
            </w:r>
          </w:p>
        </w:tc>
      </w:tr>
      <w:tr w:rsidR="0036264A" w:rsidTr="0036264A">
        <w:tc>
          <w:tcPr>
            <w:tcW w:w="4675" w:type="dxa"/>
          </w:tcPr>
          <w:p w:rsidR="0036264A" w:rsidRDefault="0036264A" w:rsidP="00CE48C4">
            <w:r>
              <w:t>NEHA</w:t>
            </w:r>
          </w:p>
          <w:p w:rsidR="0036264A" w:rsidRDefault="0036264A" w:rsidP="00CE48C4">
            <w:r>
              <w:t>I-FITT-RR</w:t>
            </w:r>
          </w:p>
        </w:tc>
        <w:tc>
          <w:tcPr>
            <w:tcW w:w="9203" w:type="dxa"/>
          </w:tcPr>
          <w:p w:rsidR="0036264A" w:rsidRDefault="0036264A" w:rsidP="00CE48C4">
            <w:r>
              <w:t>Module 5 Collecting Samples and Laboratory Testing</w:t>
            </w:r>
          </w:p>
        </w:tc>
      </w:tr>
      <w:tr w:rsidR="0036264A" w:rsidTr="0036264A">
        <w:tc>
          <w:tcPr>
            <w:tcW w:w="4675" w:type="dxa"/>
          </w:tcPr>
          <w:p w:rsidR="0036264A" w:rsidRDefault="0036264A" w:rsidP="00CE48C4">
            <w:r>
              <w:t>IFSCOE</w:t>
            </w:r>
          </w:p>
        </w:tc>
        <w:tc>
          <w:tcPr>
            <w:tcW w:w="9203" w:type="dxa"/>
          </w:tcPr>
          <w:p w:rsidR="0036264A" w:rsidRDefault="0036264A" w:rsidP="00CE48C4">
            <w:r>
              <w:t>Yes</w:t>
            </w:r>
          </w:p>
        </w:tc>
      </w:tr>
      <w:tr w:rsidR="0036264A" w:rsidTr="0036264A">
        <w:tc>
          <w:tcPr>
            <w:tcW w:w="4675" w:type="dxa"/>
          </w:tcPr>
          <w:p w:rsidR="0036264A" w:rsidRDefault="0036264A" w:rsidP="00CE48C4">
            <w:r>
              <w:t>Food Related Emergency Exercise Bundle (FREE)</w:t>
            </w:r>
          </w:p>
        </w:tc>
        <w:tc>
          <w:tcPr>
            <w:tcW w:w="9203" w:type="dxa"/>
          </w:tcPr>
          <w:p w:rsidR="0036264A" w:rsidRDefault="0036264A" w:rsidP="00CE48C4">
            <w:r>
              <w:t>Lab documentation procedures are shared during the scenarios.</w:t>
            </w:r>
          </w:p>
        </w:tc>
      </w:tr>
      <w:tr w:rsidR="0036264A" w:rsidTr="0036264A">
        <w:tc>
          <w:tcPr>
            <w:tcW w:w="13878" w:type="dxa"/>
            <w:gridSpan w:val="2"/>
            <w:shd w:val="clear" w:color="auto" w:fill="D9D9D9"/>
          </w:tcPr>
          <w:p w:rsidR="0036264A" w:rsidRDefault="0036264A" w:rsidP="00CE48C4">
            <w:r>
              <w:t xml:space="preserve">b. The program maintains a list of alternative laboratory contacts from which assistance could be sought in the event that a food-related </w:t>
            </w:r>
            <w:r>
              <w:lastRenderedPageBreak/>
              <w:t xml:space="preserve">emergency exceeds the capability of the primary support lab(s) listed in paragraph 3.a. This list should also identify potential sources of laboratory support such as FDA, </w:t>
            </w:r>
            <w:r w:rsidRPr="00835D63">
              <w:t>USDA, CDC, or environmental laboratories for specific analysis that cannot be performed by the jurisdiction’s primary laboratory(s).</w:t>
            </w:r>
          </w:p>
        </w:tc>
      </w:tr>
      <w:tr w:rsidR="0036264A" w:rsidRPr="009F40C6" w:rsidTr="0036264A">
        <w:tc>
          <w:tcPr>
            <w:tcW w:w="4675" w:type="dxa"/>
            <w:tcBorders>
              <w:bottom w:val="thinThickThinSmallGap" w:sz="24" w:space="0" w:color="auto"/>
            </w:tcBorders>
          </w:tcPr>
          <w:p w:rsidR="0036264A" w:rsidRPr="009F40C6" w:rsidRDefault="0036264A" w:rsidP="00CE48C4">
            <w:pPr>
              <w:rPr>
                <w:b/>
              </w:rPr>
            </w:pPr>
            <w:r w:rsidRPr="009F40C6">
              <w:rPr>
                <w:b/>
              </w:rPr>
              <w:lastRenderedPageBreak/>
              <w:t>Tool</w:t>
            </w:r>
          </w:p>
        </w:tc>
        <w:tc>
          <w:tcPr>
            <w:tcW w:w="9203" w:type="dxa"/>
            <w:tcBorders>
              <w:bottom w:val="thinThickThinSmallGap" w:sz="24" w:space="0" w:color="auto"/>
            </w:tcBorders>
          </w:tcPr>
          <w:p w:rsidR="0036264A" w:rsidRPr="009F40C6" w:rsidRDefault="0036264A" w:rsidP="00CE48C4">
            <w:pPr>
              <w:rPr>
                <w:b/>
              </w:rPr>
            </w:pPr>
            <w:r w:rsidRPr="009F40C6">
              <w:rPr>
                <w:b/>
              </w:rPr>
              <w:t>Reference</w:t>
            </w:r>
          </w:p>
        </w:tc>
      </w:tr>
      <w:tr w:rsidR="0036264A" w:rsidTr="0036264A">
        <w:tc>
          <w:tcPr>
            <w:tcW w:w="4675" w:type="dxa"/>
          </w:tcPr>
          <w:p w:rsidR="0036264A" w:rsidRDefault="0036264A" w:rsidP="00CE48C4">
            <w:r>
              <w:t>CIFOR</w:t>
            </w:r>
          </w:p>
        </w:tc>
        <w:tc>
          <w:tcPr>
            <w:tcW w:w="9203" w:type="dxa"/>
          </w:tcPr>
          <w:p w:rsidR="0036264A" w:rsidRDefault="0036264A" w:rsidP="00CE48C4">
            <w:r>
              <w:t>4.2, 4.3,</w:t>
            </w:r>
          </w:p>
          <w:p w:rsidR="0036264A" w:rsidRDefault="0036264A" w:rsidP="00CE48C4">
            <w:r>
              <w:t>4.4, 9.1</w:t>
            </w:r>
          </w:p>
        </w:tc>
      </w:tr>
      <w:tr w:rsidR="0036264A" w:rsidTr="0036264A">
        <w:tc>
          <w:tcPr>
            <w:tcW w:w="4675" w:type="dxa"/>
          </w:tcPr>
          <w:p w:rsidR="0036264A" w:rsidRDefault="0036264A" w:rsidP="00CE48C4">
            <w:r>
              <w:t>MFRPS</w:t>
            </w:r>
          </w:p>
        </w:tc>
        <w:tc>
          <w:tcPr>
            <w:tcW w:w="9203" w:type="dxa"/>
          </w:tcPr>
          <w:p w:rsidR="0036264A" w:rsidRDefault="0036264A" w:rsidP="00CE48C4">
            <w:r>
              <w:t>5.5</w:t>
            </w:r>
          </w:p>
        </w:tc>
      </w:tr>
      <w:tr w:rsidR="0036264A" w:rsidTr="0036264A">
        <w:tc>
          <w:tcPr>
            <w:tcW w:w="4675" w:type="dxa"/>
          </w:tcPr>
          <w:p w:rsidR="0036264A" w:rsidRDefault="0036264A" w:rsidP="00CE48C4">
            <w:r>
              <w:t>NASDA Version 4.0 August 2011</w:t>
            </w:r>
          </w:p>
        </w:tc>
        <w:tc>
          <w:tcPr>
            <w:tcW w:w="9203" w:type="dxa"/>
          </w:tcPr>
          <w:p w:rsidR="0036264A" w:rsidRDefault="0036264A" w:rsidP="00CE48C4">
            <w:r>
              <w:t>VI</w:t>
            </w:r>
          </w:p>
        </w:tc>
      </w:tr>
      <w:tr w:rsidR="0036264A" w:rsidTr="0036264A">
        <w:tc>
          <w:tcPr>
            <w:tcW w:w="4675" w:type="dxa"/>
          </w:tcPr>
          <w:p w:rsidR="0036264A" w:rsidRDefault="0036264A" w:rsidP="00CE48C4">
            <w:r w:rsidRPr="00DF1271">
              <w:t>NEHA (CFOI)</w:t>
            </w:r>
          </w:p>
        </w:tc>
        <w:tc>
          <w:tcPr>
            <w:tcW w:w="9203" w:type="dxa"/>
          </w:tcPr>
          <w:p w:rsidR="0036264A" w:rsidRDefault="0036264A" w:rsidP="00CE48C4">
            <w:r>
              <w:t>Collecting Samples</w:t>
            </w:r>
          </w:p>
        </w:tc>
      </w:tr>
      <w:tr w:rsidR="0036264A" w:rsidTr="0036264A">
        <w:tc>
          <w:tcPr>
            <w:tcW w:w="4675" w:type="dxa"/>
          </w:tcPr>
          <w:p w:rsidR="0036264A" w:rsidRDefault="0036264A" w:rsidP="00CE48C4">
            <w:r>
              <w:t>IFSCOE</w:t>
            </w:r>
          </w:p>
        </w:tc>
        <w:tc>
          <w:tcPr>
            <w:tcW w:w="9203" w:type="dxa"/>
          </w:tcPr>
          <w:p w:rsidR="0036264A" w:rsidRDefault="0036264A" w:rsidP="00CE48C4">
            <w:r>
              <w:t>Yes</w:t>
            </w:r>
          </w:p>
        </w:tc>
      </w:tr>
      <w:tr w:rsidR="0036264A" w:rsidTr="0036264A">
        <w:tc>
          <w:tcPr>
            <w:tcW w:w="4675" w:type="dxa"/>
          </w:tcPr>
          <w:p w:rsidR="0036264A" w:rsidRDefault="0036264A" w:rsidP="00CE48C4">
            <w:r>
              <w:t>Food Related Emergency Exercise Bundle (FREE)</w:t>
            </w:r>
          </w:p>
        </w:tc>
        <w:tc>
          <w:tcPr>
            <w:tcW w:w="9203" w:type="dxa"/>
          </w:tcPr>
          <w:p w:rsidR="0036264A" w:rsidRDefault="0036264A" w:rsidP="00CE48C4">
            <w:r>
              <w:t>The scenarios presented in the modules address these issues.</w:t>
            </w:r>
          </w:p>
        </w:tc>
      </w:tr>
      <w:tr w:rsidR="0036264A" w:rsidTr="0036264A">
        <w:tc>
          <w:tcPr>
            <w:tcW w:w="13878" w:type="dxa"/>
            <w:gridSpan w:val="2"/>
            <w:shd w:val="clear" w:color="auto" w:fill="BFBFBF"/>
          </w:tcPr>
          <w:p w:rsidR="0036264A" w:rsidRDefault="0036264A" w:rsidP="00CE48C4">
            <w:r>
              <w:t>4. Trace-back Procedures</w:t>
            </w:r>
          </w:p>
        </w:tc>
      </w:tr>
      <w:tr w:rsidR="0036264A" w:rsidTr="0036264A">
        <w:tc>
          <w:tcPr>
            <w:tcW w:w="13878" w:type="dxa"/>
            <w:gridSpan w:val="2"/>
            <w:shd w:val="clear" w:color="auto" w:fill="D9D9D9"/>
          </w:tcPr>
          <w:p w:rsidR="0036264A" w:rsidRDefault="0036264A" w:rsidP="00CE48C4">
            <w:r w:rsidRPr="00835D63">
              <w:t>a. Program management has an established procedure to address the trace-back of foods implicated in an illness, outbreak or intentional food contamination. The trace-back procedure provides for the coordinated involvement of all appropriate agencies and identifies a coordinator to guide the investigation. Trace-back reports are shared with all agencies involved and with CDC.</w:t>
            </w:r>
          </w:p>
        </w:tc>
      </w:tr>
      <w:tr w:rsidR="0036264A" w:rsidRPr="009F40C6" w:rsidTr="0036264A">
        <w:tc>
          <w:tcPr>
            <w:tcW w:w="4675" w:type="dxa"/>
            <w:tcBorders>
              <w:bottom w:val="thinThickThinSmallGap" w:sz="24" w:space="0" w:color="auto"/>
            </w:tcBorders>
          </w:tcPr>
          <w:p w:rsidR="0036264A" w:rsidRPr="009F40C6" w:rsidRDefault="0036264A" w:rsidP="00CE48C4">
            <w:pPr>
              <w:rPr>
                <w:b/>
              </w:rPr>
            </w:pPr>
            <w:r w:rsidRPr="009F40C6">
              <w:rPr>
                <w:b/>
              </w:rPr>
              <w:t>Tool</w:t>
            </w:r>
          </w:p>
        </w:tc>
        <w:tc>
          <w:tcPr>
            <w:tcW w:w="9203" w:type="dxa"/>
            <w:tcBorders>
              <w:bottom w:val="thinThickThinSmallGap" w:sz="24" w:space="0" w:color="auto"/>
            </w:tcBorders>
          </w:tcPr>
          <w:p w:rsidR="0036264A" w:rsidRPr="009F40C6" w:rsidRDefault="0036264A" w:rsidP="00CE48C4">
            <w:pPr>
              <w:rPr>
                <w:b/>
              </w:rPr>
            </w:pPr>
            <w:r w:rsidRPr="009F40C6">
              <w:rPr>
                <w:b/>
              </w:rPr>
              <w:t>Reference</w:t>
            </w:r>
          </w:p>
        </w:tc>
      </w:tr>
      <w:tr w:rsidR="0036264A" w:rsidTr="0036264A">
        <w:tc>
          <w:tcPr>
            <w:tcW w:w="4675" w:type="dxa"/>
          </w:tcPr>
          <w:p w:rsidR="0036264A" w:rsidRDefault="0036264A" w:rsidP="00CE48C4">
            <w:r>
              <w:t>RRT</w:t>
            </w:r>
          </w:p>
        </w:tc>
        <w:tc>
          <w:tcPr>
            <w:tcW w:w="9203" w:type="dxa"/>
          </w:tcPr>
          <w:p w:rsidR="0036264A" w:rsidRDefault="0036264A" w:rsidP="00CE48C4">
            <w:r>
              <w:t>Chapter 9</w:t>
            </w:r>
          </w:p>
        </w:tc>
      </w:tr>
      <w:tr w:rsidR="0036264A" w:rsidTr="0036264A">
        <w:tc>
          <w:tcPr>
            <w:tcW w:w="4675" w:type="dxa"/>
          </w:tcPr>
          <w:p w:rsidR="0036264A" w:rsidRDefault="0036264A" w:rsidP="00CE48C4">
            <w:r>
              <w:t>CIFOR</w:t>
            </w:r>
          </w:p>
        </w:tc>
        <w:tc>
          <w:tcPr>
            <w:tcW w:w="9203" w:type="dxa"/>
          </w:tcPr>
          <w:p w:rsidR="0036264A" w:rsidRDefault="0036264A" w:rsidP="00CE48C4">
            <w:r>
              <w:t>5.2</w:t>
            </w:r>
          </w:p>
        </w:tc>
      </w:tr>
      <w:tr w:rsidR="0036264A" w:rsidTr="0036264A">
        <w:tc>
          <w:tcPr>
            <w:tcW w:w="4675" w:type="dxa"/>
          </w:tcPr>
          <w:p w:rsidR="0036264A" w:rsidRDefault="0036264A" w:rsidP="00CE48C4">
            <w:r>
              <w:t>MFRPS</w:t>
            </w:r>
          </w:p>
        </w:tc>
        <w:tc>
          <w:tcPr>
            <w:tcW w:w="9203" w:type="dxa"/>
          </w:tcPr>
          <w:p w:rsidR="0036264A" w:rsidRDefault="0036264A" w:rsidP="00CE48C4">
            <w:r>
              <w:t>5.3.3.3</w:t>
            </w:r>
          </w:p>
        </w:tc>
      </w:tr>
      <w:tr w:rsidR="0036264A" w:rsidTr="0036264A">
        <w:tc>
          <w:tcPr>
            <w:tcW w:w="4675" w:type="dxa"/>
          </w:tcPr>
          <w:p w:rsidR="0036264A" w:rsidRDefault="0036264A" w:rsidP="00CE48C4">
            <w:r>
              <w:t>IAFP</w:t>
            </w:r>
          </w:p>
        </w:tc>
        <w:tc>
          <w:tcPr>
            <w:tcW w:w="9203" w:type="dxa"/>
          </w:tcPr>
          <w:p w:rsidR="0036264A" w:rsidRDefault="0036264A" w:rsidP="00CE48C4">
            <w:r>
              <w:t>Forms J 1, 2 &amp; 3 (pg. 154-154)</w:t>
            </w:r>
          </w:p>
        </w:tc>
      </w:tr>
      <w:tr w:rsidR="0036264A" w:rsidTr="0036264A">
        <w:tc>
          <w:tcPr>
            <w:tcW w:w="4675" w:type="dxa"/>
          </w:tcPr>
          <w:p w:rsidR="0036264A" w:rsidRDefault="0036264A" w:rsidP="00CE48C4">
            <w:r>
              <w:t>NASDA Version 4.0 August 2011</w:t>
            </w:r>
          </w:p>
        </w:tc>
        <w:tc>
          <w:tcPr>
            <w:tcW w:w="9203" w:type="dxa"/>
          </w:tcPr>
          <w:p w:rsidR="0036264A" w:rsidRDefault="0036264A" w:rsidP="00CE48C4">
            <w:r>
              <w:t>VI, IX</w:t>
            </w:r>
          </w:p>
        </w:tc>
      </w:tr>
      <w:tr w:rsidR="0036264A" w:rsidTr="0036264A">
        <w:tc>
          <w:tcPr>
            <w:tcW w:w="4675" w:type="dxa"/>
          </w:tcPr>
          <w:p w:rsidR="0036264A" w:rsidRDefault="0036264A" w:rsidP="00CE48C4">
            <w:r>
              <w:t>NEHA Epi-</w:t>
            </w:r>
          </w:p>
          <w:p w:rsidR="0036264A" w:rsidRDefault="0036264A" w:rsidP="00CE48C4">
            <w:r>
              <w:t>Ready. Foodborne Illness Response</w:t>
            </w:r>
          </w:p>
          <w:p w:rsidR="0036264A" w:rsidRDefault="0036264A" w:rsidP="00CE48C4">
            <w:r>
              <w:t>Strategies. Edition 2012</w:t>
            </w:r>
          </w:p>
        </w:tc>
        <w:tc>
          <w:tcPr>
            <w:tcW w:w="9203" w:type="dxa"/>
          </w:tcPr>
          <w:p w:rsidR="0036264A" w:rsidRDefault="0036264A" w:rsidP="00CE48C4">
            <w:r>
              <w:t>Module 5</w:t>
            </w:r>
          </w:p>
        </w:tc>
      </w:tr>
      <w:tr w:rsidR="0036264A" w:rsidTr="0036264A">
        <w:tc>
          <w:tcPr>
            <w:tcW w:w="4675" w:type="dxa"/>
          </w:tcPr>
          <w:p w:rsidR="0036264A" w:rsidRDefault="0036264A" w:rsidP="00CE48C4">
            <w:r>
              <w:t>NEHA</w:t>
            </w:r>
          </w:p>
          <w:p w:rsidR="0036264A" w:rsidRDefault="0036264A" w:rsidP="00CE48C4">
            <w:r>
              <w:t>I-FITT-RR</w:t>
            </w:r>
          </w:p>
        </w:tc>
        <w:tc>
          <w:tcPr>
            <w:tcW w:w="9203" w:type="dxa"/>
          </w:tcPr>
          <w:p w:rsidR="0036264A" w:rsidRDefault="0036264A" w:rsidP="00CE48C4">
            <w:r>
              <w:t>Module 8 Food Recalls</w:t>
            </w:r>
          </w:p>
        </w:tc>
      </w:tr>
      <w:tr w:rsidR="0036264A" w:rsidTr="0036264A">
        <w:tc>
          <w:tcPr>
            <w:tcW w:w="4675" w:type="dxa"/>
          </w:tcPr>
          <w:p w:rsidR="0036264A" w:rsidRDefault="0036264A" w:rsidP="00CE48C4">
            <w:r>
              <w:t>CDC</w:t>
            </w:r>
          </w:p>
          <w:p w:rsidR="0036264A" w:rsidRDefault="0036264A" w:rsidP="00CE48C4">
            <w:r>
              <w:t>Foodborne Illness Outbreak Environmental Assessments</w:t>
            </w:r>
          </w:p>
        </w:tc>
        <w:tc>
          <w:tcPr>
            <w:tcW w:w="9203" w:type="dxa"/>
          </w:tcPr>
          <w:p w:rsidR="0036264A" w:rsidRDefault="0036264A" w:rsidP="00CE48C4">
            <w:r>
              <w:t>Lesson 7</w:t>
            </w:r>
          </w:p>
        </w:tc>
      </w:tr>
      <w:tr w:rsidR="0036264A" w:rsidTr="0036264A">
        <w:tc>
          <w:tcPr>
            <w:tcW w:w="4675" w:type="dxa"/>
          </w:tcPr>
          <w:p w:rsidR="0036264A" w:rsidRDefault="0036264A" w:rsidP="00CE48C4">
            <w:r w:rsidRPr="00DF1271">
              <w:t>NEHA (CFOI)</w:t>
            </w:r>
          </w:p>
        </w:tc>
        <w:tc>
          <w:tcPr>
            <w:tcW w:w="9203" w:type="dxa"/>
          </w:tcPr>
          <w:p w:rsidR="0036264A" w:rsidRDefault="0036264A" w:rsidP="00CE48C4">
            <w:r>
              <w:t>Conducting Product Tracing</w:t>
            </w:r>
          </w:p>
        </w:tc>
      </w:tr>
      <w:tr w:rsidR="0036264A" w:rsidTr="0036264A">
        <w:tc>
          <w:tcPr>
            <w:tcW w:w="4675" w:type="dxa"/>
          </w:tcPr>
          <w:p w:rsidR="0036264A" w:rsidRDefault="0036264A" w:rsidP="00CE48C4">
            <w:r>
              <w:t>IFSCOE</w:t>
            </w:r>
          </w:p>
        </w:tc>
        <w:tc>
          <w:tcPr>
            <w:tcW w:w="9203" w:type="dxa"/>
          </w:tcPr>
          <w:p w:rsidR="0036264A" w:rsidRDefault="0036264A" w:rsidP="00CE48C4">
            <w:r>
              <w:t>Yes</w:t>
            </w:r>
          </w:p>
        </w:tc>
      </w:tr>
      <w:tr w:rsidR="0036264A" w:rsidTr="0036264A">
        <w:tc>
          <w:tcPr>
            <w:tcW w:w="4675" w:type="dxa"/>
          </w:tcPr>
          <w:p w:rsidR="0036264A" w:rsidRDefault="0036264A" w:rsidP="00CE48C4">
            <w:r>
              <w:t>Food Related Emergency Exercise Bundle (FREE)</w:t>
            </w:r>
          </w:p>
        </w:tc>
        <w:tc>
          <w:tcPr>
            <w:tcW w:w="9203" w:type="dxa"/>
          </w:tcPr>
          <w:p w:rsidR="0036264A" w:rsidRDefault="0036264A" w:rsidP="00CE48C4">
            <w:r>
              <w:t>Lab documentation procedures are shared during the scenarios.</w:t>
            </w:r>
          </w:p>
        </w:tc>
      </w:tr>
      <w:tr w:rsidR="0036264A" w:rsidTr="0036264A">
        <w:tc>
          <w:tcPr>
            <w:tcW w:w="13878" w:type="dxa"/>
            <w:gridSpan w:val="2"/>
            <w:shd w:val="clear" w:color="auto" w:fill="BFBFBF"/>
          </w:tcPr>
          <w:p w:rsidR="0036264A" w:rsidRDefault="0036264A" w:rsidP="00CE48C4">
            <w:r>
              <w:t>5. Recalls</w:t>
            </w:r>
          </w:p>
        </w:tc>
      </w:tr>
      <w:tr w:rsidR="0036264A" w:rsidTr="0036264A">
        <w:tc>
          <w:tcPr>
            <w:tcW w:w="13878" w:type="dxa"/>
            <w:gridSpan w:val="2"/>
            <w:shd w:val="clear" w:color="auto" w:fill="D9D9D9"/>
          </w:tcPr>
          <w:p w:rsidR="0036264A" w:rsidRDefault="0036264A" w:rsidP="00CE48C4">
            <w:r w:rsidRPr="00BF11D3">
              <w:t>a. Program management has an established procedure to address the recall of foods implicated in an illness, outbreak or intentional food contamination.</w:t>
            </w:r>
          </w:p>
        </w:tc>
      </w:tr>
      <w:tr w:rsidR="0036264A" w:rsidRPr="009F40C6" w:rsidTr="0036264A">
        <w:tc>
          <w:tcPr>
            <w:tcW w:w="4675" w:type="dxa"/>
            <w:tcBorders>
              <w:bottom w:val="thinThickThinSmallGap" w:sz="24" w:space="0" w:color="auto"/>
            </w:tcBorders>
          </w:tcPr>
          <w:p w:rsidR="0036264A" w:rsidRPr="009F40C6" w:rsidRDefault="0036264A" w:rsidP="00CE48C4">
            <w:pPr>
              <w:rPr>
                <w:b/>
              </w:rPr>
            </w:pPr>
            <w:r w:rsidRPr="009F40C6">
              <w:rPr>
                <w:b/>
              </w:rPr>
              <w:lastRenderedPageBreak/>
              <w:t>Tool</w:t>
            </w:r>
          </w:p>
        </w:tc>
        <w:tc>
          <w:tcPr>
            <w:tcW w:w="9203" w:type="dxa"/>
            <w:tcBorders>
              <w:bottom w:val="thinThickThinSmallGap" w:sz="24" w:space="0" w:color="auto"/>
            </w:tcBorders>
          </w:tcPr>
          <w:p w:rsidR="0036264A" w:rsidRPr="009F40C6" w:rsidRDefault="0036264A" w:rsidP="00CE48C4">
            <w:pPr>
              <w:rPr>
                <w:b/>
              </w:rPr>
            </w:pPr>
            <w:r w:rsidRPr="009F40C6">
              <w:rPr>
                <w:b/>
              </w:rPr>
              <w:t>Reference</w:t>
            </w:r>
          </w:p>
        </w:tc>
      </w:tr>
      <w:tr w:rsidR="0036264A" w:rsidTr="0036264A">
        <w:tc>
          <w:tcPr>
            <w:tcW w:w="4675" w:type="dxa"/>
          </w:tcPr>
          <w:p w:rsidR="0036264A" w:rsidRDefault="0036264A" w:rsidP="00CE48C4">
            <w:r>
              <w:t>RRT</w:t>
            </w:r>
          </w:p>
        </w:tc>
        <w:tc>
          <w:tcPr>
            <w:tcW w:w="9203" w:type="dxa"/>
          </w:tcPr>
          <w:p w:rsidR="0036264A" w:rsidRDefault="0036264A" w:rsidP="00CE48C4">
            <w:r>
              <w:t>Chapter 12</w:t>
            </w:r>
          </w:p>
        </w:tc>
      </w:tr>
      <w:tr w:rsidR="0036264A" w:rsidTr="0036264A">
        <w:tc>
          <w:tcPr>
            <w:tcW w:w="4675" w:type="dxa"/>
          </w:tcPr>
          <w:p w:rsidR="0036264A" w:rsidRDefault="0036264A" w:rsidP="00CE48C4">
            <w:r>
              <w:t>CIFOR</w:t>
            </w:r>
          </w:p>
        </w:tc>
        <w:tc>
          <w:tcPr>
            <w:tcW w:w="9203" w:type="dxa"/>
          </w:tcPr>
          <w:p w:rsidR="0036264A" w:rsidRDefault="0036264A" w:rsidP="00CE48C4">
            <w:r>
              <w:t>5.2.4.1.1</w:t>
            </w:r>
          </w:p>
        </w:tc>
      </w:tr>
      <w:tr w:rsidR="0036264A" w:rsidTr="0036264A">
        <w:tc>
          <w:tcPr>
            <w:tcW w:w="4675" w:type="dxa"/>
          </w:tcPr>
          <w:p w:rsidR="0036264A" w:rsidRDefault="0036264A" w:rsidP="00CE48C4">
            <w:r>
              <w:t>MFRPS</w:t>
            </w:r>
          </w:p>
        </w:tc>
        <w:tc>
          <w:tcPr>
            <w:tcW w:w="9203" w:type="dxa"/>
          </w:tcPr>
          <w:p w:rsidR="0036264A" w:rsidRDefault="0036264A" w:rsidP="00CE48C4">
            <w:r>
              <w:t>5.3.2.2</w:t>
            </w:r>
          </w:p>
        </w:tc>
      </w:tr>
      <w:tr w:rsidR="0036264A" w:rsidTr="0036264A">
        <w:tc>
          <w:tcPr>
            <w:tcW w:w="4675" w:type="dxa"/>
          </w:tcPr>
          <w:p w:rsidR="0036264A" w:rsidRDefault="0036264A" w:rsidP="00CE48C4">
            <w:r>
              <w:t>NASDA Version 4.0 August 2011</w:t>
            </w:r>
          </w:p>
        </w:tc>
        <w:tc>
          <w:tcPr>
            <w:tcW w:w="9203" w:type="dxa"/>
          </w:tcPr>
          <w:p w:rsidR="0036264A" w:rsidRDefault="0036264A" w:rsidP="00CE48C4">
            <w:r>
              <w:t>VI, IX</w:t>
            </w:r>
          </w:p>
        </w:tc>
      </w:tr>
      <w:tr w:rsidR="0036264A" w:rsidTr="0036264A">
        <w:tc>
          <w:tcPr>
            <w:tcW w:w="4675" w:type="dxa"/>
          </w:tcPr>
          <w:p w:rsidR="0036264A" w:rsidRDefault="0036264A" w:rsidP="00CE48C4">
            <w:r>
              <w:t>NEHA Epi-</w:t>
            </w:r>
          </w:p>
          <w:p w:rsidR="0036264A" w:rsidRDefault="0036264A" w:rsidP="00CE48C4">
            <w:r>
              <w:t>Ready. Foodborne Illness Response</w:t>
            </w:r>
          </w:p>
          <w:p w:rsidR="0036264A" w:rsidRDefault="0036264A" w:rsidP="00CE48C4">
            <w:r>
              <w:t>Strategies. Edition 2012</w:t>
            </w:r>
          </w:p>
        </w:tc>
        <w:tc>
          <w:tcPr>
            <w:tcW w:w="9203" w:type="dxa"/>
          </w:tcPr>
          <w:p w:rsidR="0036264A" w:rsidRDefault="0036264A" w:rsidP="00CE48C4">
            <w:r>
              <w:t>Module 5</w:t>
            </w:r>
          </w:p>
        </w:tc>
      </w:tr>
      <w:tr w:rsidR="0036264A" w:rsidTr="0036264A">
        <w:tc>
          <w:tcPr>
            <w:tcW w:w="4675" w:type="dxa"/>
          </w:tcPr>
          <w:p w:rsidR="0036264A" w:rsidRDefault="0036264A" w:rsidP="00CE48C4">
            <w:r>
              <w:t>NEHA</w:t>
            </w:r>
          </w:p>
          <w:p w:rsidR="0036264A" w:rsidRDefault="0036264A" w:rsidP="00CE48C4">
            <w:r>
              <w:t>I-FITT-RR</w:t>
            </w:r>
          </w:p>
        </w:tc>
        <w:tc>
          <w:tcPr>
            <w:tcW w:w="9203" w:type="dxa"/>
          </w:tcPr>
          <w:p w:rsidR="0036264A" w:rsidRDefault="0036264A" w:rsidP="00CE48C4">
            <w:r>
              <w:t>Module 8 Food Recalls</w:t>
            </w:r>
          </w:p>
        </w:tc>
      </w:tr>
      <w:tr w:rsidR="0036264A" w:rsidTr="0036264A">
        <w:tc>
          <w:tcPr>
            <w:tcW w:w="4675" w:type="dxa"/>
          </w:tcPr>
          <w:p w:rsidR="0036264A" w:rsidRDefault="0036264A" w:rsidP="00CE48C4">
            <w:r>
              <w:t>Food Related Emergency Exercise Bundle (FREE)</w:t>
            </w:r>
          </w:p>
        </w:tc>
        <w:tc>
          <w:tcPr>
            <w:tcW w:w="9203" w:type="dxa"/>
          </w:tcPr>
          <w:p w:rsidR="0036264A" w:rsidRDefault="0036264A" w:rsidP="00CE48C4">
            <w:r>
              <w:t>The scenarios presented in the modules address these issues.</w:t>
            </w:r>
          </w:p>
        </w:tc>
      </w:tr>
      <w:tr w:rsidR="0036264A" w:rsidTr="0036264A">
        <w:tc>
          <w:tcPr>
            <w:tcW w:w="13878" w:type="dxa"/>
            <w:gridSpan w:val="2"/>
            <w:shd w:val="clear" w:color="auto" w:fill="D9D9D9"/>
          </w:tcPr>
          <w:p w:rsidR="0036264A" w:rsidRDefault="0036264A" w:rsidP="00CE48C4">
            <w:r w:rsidRPr="00BF11D3">
              <w:t>b. When the jurisdiction has the responsibility to request or monitor a product recall, written procedures equivalent to 21 CFR, Part 7 are followed.</w:t>
            </w:r>
          </w:p>
        </w:tc>
      </w:tr>
      <w:tr w:rsidR="0036264A" w:rsidRPr="009F40C6" w:rsidTr="0036264A">
        <w:tc>
          <w:tcPr>
            <w:tcW w:w="4675" w:type="dxa"/>
            <w:tcBorders>
              <w:bottom w:val="thinThickThinSmallGap" w:sz="24" w:space="0" w:color="auto"/>
            </w:tcBorders>
          </w:tcPr>
          <w:p w:rsidR="0036264A" w:rsidRPr="009F40C6" w:rsidRDefault="0036264A" w:rsidP="00CE48C4">
            <w:pPr>
              <w:rPr>
                <w:b/>
              </w:rPr>
            </w:pPr>
            <w:r w:rsidRPr="009F40C6">
              <w:rPr>
                <w:b/>
              </w:rPr>
              <w:t>Tool</w:t>
            </w:r>
          </w:p>
        </w:tc>
        <w:tc>
          <w:tcPr>
            <w:tcW w:w="9203" w:type="dxa"/>
            <w:tcBorders>
              <w:bottom w:val="thinThickThinSmallGap" w:sz="24" w:space="0" w:color="auto"/>
            </w:tcBorders>
          </w:tcPr>
          <w:p w:rsidR="0036264A" w:rsidRPr="009F40C6" w:rsidRDefault="0036264A" w:rsidP="00CE48C4">
            <w:pPr>
              <w:rPr>
                <w:b/>
              </w:rPr>
            </w:pPr>
            <w:r w:rsidRPr="009F40C6">
              <w:rPr>
                <w:b/>
              </w:rPr>
              <w:t>Reference</w:t>
            </w:r>
          </w:p>
        </w:tc>
      </w:tr>
      <w:tr w:rsidR="0036264A" w:rsidTr="0036264A">
        <w:tc>
          <w:tcPr>
            <w:tcW w:w="4675" w:type="dxa"/>
          </w:tcPr>
          <w:p w:rsidR="0036264A" w:rsidRDefault="0036264A" w:rsidP="00CE48C4">
            <w:r>
              <w:t>RRT</w:t>
            </w:r>
          </w:p>
        </w:tc>
        <w:tc>
          <w:tcPr>
            <w:tcW w:w="9203" w:type="dxa"/>
          </w:tcPr>
          <w:p w:rsidR="0036264A" w:rsidRDefault="0036264A" w:rsidP="00CE48C4">
            <w:r>
              <w:t>Chapter 12</w:t>
            </w:r>
          </w:p>
        </w:tc>
      </w:tr>
      <w:tr w:rsidR="0036264A" w:rsidTr="0036264A">
        <w:tc>
          <w:tcPr>
            <w:tcW w:w="4675" w:type="dxa"/>
          </w:tcPr>
          <w:p w:rsidR="0036264A" w:rsidRDefault="0036264A" w:rsidP="00CE48C4">
            <w:r>
              <w:t>CIFOR</w:t>
            </w:r>
          </w:p>
        </w:tc>
        <w:tc>
          <w:tcPr>
            <w:tcW w:w="9203" w:type="dxa"/>
          </w:tcPr>
          <w:p w:rsidR="0036264A" w:rsidRDefault="0036264A" w:rsidP="00CE48C4">
            <w:r>
              <w:t>5.2</w:t>
            </w:r>
          </w:p>
        </w:tc>
      </w:tr>
      <w:tr w:rsidR="0036264A" w:rsidTr="0036264A">
        <w:tc>
          <w:tcPr>
            <w:tcW w:w="4675" w:type="dxa"/>
          </w:tcPr>
          <w:p w:rsidR="0036264A" w:rsidRDefault="0036264A" w:rsidP="00CE48C4">
            <w:r>
              <w:t>NASDA Version 4.0 August 2011</w:t>
            </w:r>
          </w:p>
        </w:tc>
        <w:tc>
          <w:tcPr>
            <w:tcW w:w="9203" w:type="dxa"/>
          </w:tcPr>
          <w:p w:rsidR="0036264A" w:rsidRDefault="0036264A" w:rsidP="00CE48C4">
            <w:r>
              <w:t>VI, IX</w:t>
            </w:r>
          </w:p>
        </w:tc>
      </w:tr>
      <w:tr w:rsidR="0036264A" w:rsidTr="0036264A">
        <w:tc>
          <w:tcPr>
            <w:tcW w:w="4675" w:type="dxa"/>
          </w:tcPr>
          <w:p w:rsidR="0036264A" w:rsidRDefault="0036264A" w:rsidP="00CE48C4">
            <w:r>
              <w:t>NEHA</w:t>
            </w:r>
          </w:p>
          <w:p w:rsidR="0036264A" w:rsidRDefault="0036264A" w:rsidP="00CE48C4">
            <w:r>
              <w:t>I-FITT-RR</w:t>
            </w:r>
          </w:p>
        </w:tc>
        <w:tc>
          <w:tcPr>
            <w:tcW w:w="9203" w:type="dxa"/>
          </w:tcPr>
          <w:p w:rsidR="0036264A" w:rsidRDefault="0036264A" w:rsidP="00CE48C4">
            <w:r>
              <w:t>Module 8 Food Recalls</w:t>
            </w:r>
          </w:p>
        </w:tc>
      </w:tr>
      <w:tr w:rsidR="0036264A" w:rsidTr="0036264A">
        <w:tc>
          <w:tcPr>
            <w:tcW w:w="4675" w:type="dxa"/>
          </w:tcPr>
          <w:p w:rsidR="0036264A" w:rsidRDefault="0036264A" w:rsidP="00CE48C4">
            <w:r>
              <w:t>Food Related Emergency Exercise Bundle (FREE)</w:t>
            </w:r>
          </w:p>
        </w:tc>
        <w:tc>
          <w:tcPr>
            <w:tcW w:w="9203" w:type="dxa"/>
          </w:tcPr>
          <w:p w:rsidR="0036264A" w:rsidRDefault="0036264A" w:rsidP="00CE48C4">
            <w:r>
              <w:t>The scenarios presented in the modules address these issues.</w:t>
            </w:r>
          </w:p>
        </w:tc>
      </w:tr>
      <w:tr w:rsidR="0036264A" w:rsidTr="0036264A">
        <w:tc>
          <w:tcPr>
            <w:tcW w:w="13878" w:type="dxa"/>
            <w:gridSpan w:val="2"/>
            <w:shd w:val="clear" w:color="auto" w:fill="D9D9D9"/>
          </w:tcPr>
          <w:p w:rsidR="0036264A" w:rsidRDefault="0036264A" w:rsidP="00CE48C4">
            <w:r w:rsidRPr="00BF11D3">
              <w:t>c. Written policies and procedures exist for verifying the effectiveness of recall actions by firms (effectiveness checks) when requested by another agency.</w:t>
            </w:r>
          </w:p>
        </w:tc>
      </w:tr>
      <w:tr w:rsidR="0036264A" w:rsidRPr="009F40C6" w:rsidTr="0036264A">
        <w:tc>
          <w:tcPr>
            <w:tcW w:w="4675" w:type="dxa"/>
            <w:tcBorders>
              <w:bottom w:val="thinThickThinSmallGap" w:sz="24" w:space="0" w:color="auto"/>
            </w:tcBorders>
          </w:tcPr>
          <w:p w:rsidR="0036264A" w:rsidRPr="009F40C6" w:rsidRDefault="0036264A" w:rsidP="00CE48C4">
            <w:pPr>
              <w:rPr>
                <w:b/>
              </w:rPr>
            </w:pPr>
            <w:r w:rsidRPr="009F40C6">
              <w:rPr>
                <w:b/>
              </w:rPr>
              <w:t>Tool</w:t>
            </w:r>
          </w:p>
        </w:tc>
        <w:tc>
          <w:tcPr>
            <w:tcW w:w="9203" w:type="dxa"/>
            <w:tcBorders>
              <w:bottom w:val="thinThickThinSmallGap" w:sz="24" w:space="0" w:color="auto"/>
            </w:tcBorders>
          </w:tcPr>
          <w:p w:rsidR="0036264A" w:rsidRPr="009F40C6" w:rsidRDefault="0036264A" w:rsidP="00CE48C4">
            <w:pPr>
              <w:rPr>
                <w:b/>
              </w:rPr>
            </w:pPr>
            <w:r w:rsidRPr="009F40C6">
              <w:rPr>
                <w:b/>
              </w:rPr>
              <w:t>Reference</w:t>
            </w:r>
          </w:p>
        </w:tc>
      </w:tr>
      <w:tr w:rsidR="0036264A" w:rsidTr="0036264A">
        <w:tc>
          <w:tcPr>
            <w:tcW w:w="4675" w:type="dxa"/>
          </w:tcPr>
          <w:p w:rsidR="0036264A" w:rsidRDefault="0036264A" w:rsidP="00CE48C4">
            <w:r>
              <w:t>RRT</w:t>
            </w:r>
          </w:p>
        </w:tc>
        <w:tc>
          <w:tcPr>
            <w:tcW w:w="9203" w:type="dxa"/>
          </w:tcPr>
          <w:p w:rsidR="0036264A" w:rsidRDefault="0036264A" w:rsidP="00CE48C4">
            <w:r>
              <w:t>Chapter 12</w:t>
            </w:r>
          </w:p>
        </w:tc>
      </w:tr>
      <w:tr w:rsidR="0036264A" w:rsidTr="0036264A">
        <w:tc>
          <w:tcPr>
            <w:tcW w:w="4675" w:type="dxa"/>
          </w:tcPr>
          <w:p w:rsidR="0036264A" w:rsidRDefault="0036264A" w:rsidP="00CE48C4">
            <w:r>
              <w:t>CIFOR</w:t>
            </w:r>
          </w:p>
        </w:tc>
        <w:tc>
          <w:tcPr>
            <w:tcW w:w="9203" w:type="dxa"/>
          </w:tcPr>
          <w:p w:rsidR="0036264A" w:rsidRDefault="0036264A" w:rsidP="00CE48C4">
            <w:r>
              <w:t>5.2</w:t>
            </w:r>
          </w:p>
        </w:tc>
      </w:tr>
      <w:tr w:rsidR="0036264A" w:rsidTr="0036264A">
        <w:tc>
          <w:tcPr>
            <w:tcW w:w="4675" w:type="dxa"/>
          </w:tcPr>
          <w:p w:rsidR="0036264A" w:rsidRDefault="0036264A" w:rsidP="00CE48C4">
            <w:r>
              <w:t>IAFP</w:t>
            </w:r>
          </w:p>
        </w:tc>
        <w:tc>
          <w:tcPr>
            <w:tcW w:w="9203" w:type="dxa"/>
          </w:tcPr>
          <w:p w:rsidR="0036264A" w:rsidRDefault="0036264A" w:rsidP="00CE48C4"/>
        </w:tc>
      </w:tr>
      <w:tr w:rsidR="0036264A" w:rsidTr="0036264A">
        <w:tc>
          <w:tcPr>
            <w:tcW w:w="4675" w:type="dxa"/>
          </w:tcPr>
          <w:p w:rsidR="0036264A" w:rsidRDefault="0036264A" w:rsidP="00CE48C4">
            <w:r>
              <w:t>NEHA</w:t>
            </w:r>
          </w:p>
          <w:p w:rsidR="0036264A" w:rsidRDefault="0036264A" w:rsidP="00CE48C4">
            <w:r>
              <w:t>I-FITT-RR</w:t>
            </w:r>
          </w:p>
        </w:tc>
        <w:tc>
          <w:tcPr>
            <w:tcW w:w="9203" w:type="dxa"/>
          </w:tcPr>
          <w:p w:rsidR="0036264A" w:rsidRDefault="0036264A" w:rsidP="00CE48C4">
            <w:r>
              <w:t>Module 8 Food Recalls</w:t>
            </w:r>
          </w:p>
        </w:tc>
      </w:tr>
      <w:tr w:rsidR="0036264A" w:rsidTr="0036264A">
        <w:tc>
          <w:tcPr>
            <w:tcW w:w="4675" w:type="dxa"/>
          </w:tcPr>
          <w:p w:rsidR="0036264A" w:rsidRDefault="0036264A" w:rsidP="00CE48C4">
            <w:r w:rsidRPr="00DF1271">
              <w:t>NEHA (CFOI)</w:t>
            </w:r>
          </w:p>
        </w:tc>
        <w:tc>
          <w:tcPr>
            <w:tcW w:w="9203" w:type="dxa"/>
          </w:tcPr>
          <w:p w:rsidR="0036264A" w:rsidRDefault="0036264A" w:rsidP="00CE48C4">
            <w:r>
              <w:t>Conducting Product Testing</w:t>
            </w:r>
          </w:p>
        </w:tc>
      </w:tr>
      <w:tr w:rsidR="0036264A" w:rsidTr="0036264A">
        <w:tc>
          <w:tcPr>
            <w:tcW w:w="4675" w:type="dxa"/>
          </w:tcPr>
          <w:p w:rsidR="0036264A" w:rsidRDefault="0036264A" w:rsidP="00CE48C4">
            <w:r>
              <w:t>Food Related Emergency Exercise Bundle (FREE)</w:t>
            </w:r>
          </w:p>
        </w:tc>
        <w:tc>
          <w:tcPr>
            <w:tcW w:w="9203" w:type="dxa"/>
          </w:tcPr>
          <w:p w:rsidR="0036264A" w:rsidRDefault="0036264A" w:rsidP="00CE48C4">
            <w:r>
              <w:t>The scenarios presented in the modules address these issues.</w:t>
            </w:r>
          </w:p>
        </w:tc>
      </w:tr>
      <w:tr w:rsidR="0036264A" w:rsidTr="0036264A">
        <w:tc>
          <w:tcPr>
            <w:tcW w:w="13878" w:type="dxa"/>
            <w:gridSpan w:val="2"/>
            <w:shd w:val="clear" w:color="auto" w:fill="BFBFBF"/>
          </w:tcPr>
          <w:p w:rsidR="0036264A" w:rsidRDefault="0036264A" w:rsidP="00CE48C4">
            <w:r>
              <w:t>6. Media Management</w:t>
            </w:r>
          </w:p>
        </w:tc>
      </w:tr>
      <w:tr w:rsidR="0036264A" w:rsidTr="0036264A">
        <w:tc>
          <w:tcPr>
            <w:tcW w:w="13878" w:type="dxa"/>
            <w:gridSpan w:val="2"/>
            <w:shd w:val="clear" w:color="auto" w:fill="D9D9D9"/>
          </w:tcPr>
          <w:p w:rsidR="0036264A" w:rsidRDefault="0036264A" w:rsidP="00CE48C4">
            <w:r>
              <w:t>a. The program has a written policy or procedure that defines a protocol for providing information to the public regarding a foodborne illness outbreak or food safety emergency. The policy/procedure should address coordination and cooperation with other agencies involved in the investigation. A media person is designated in the protocol.</w:t>
            </w:r>
          </w:p>
        </w:tc>
      </w:tr>
      <w:tr w:rsidR="0036264A" w:rsidRPr="009F40C6" w:rsidTr="0036264A">
        <w:tc>
          <w:tcPr>
            <w:tcW w:w="4675" w:type="dxa"/>
            <w:tcBorders>
              <w:bottom w:val="thinThickThinSmallGap" w:sz="24" w:space="0" w:color="auto"/>
            </w:tcBorders>
          </w:tcPr>
          <w:p w:rsidR="0036264A" w:rsidRPr="009F40C6" w:rsidRDefault="0036264A" w:rsidP="00CE48C4">
            <w:pPr>
              <w:rPr>
                <w:b/>
              </w:rPr>
            </w:pPr>
            <w:r w:rsidRPr="009F40C6">
              <w:rPr>
                <w:b/>
              </w:rPr>
              <w:lastRenderedPageBreak/>
              <w:t>Tool</w:t>
            </w:r>
          </w:p>
        </w:tc>
        <w:tc>
          <w:tcPr>
            <w:tcW w:w="9203" w:type="dxa"/>
            <w:tcBorders>
              <w:bottom w:val="thinThickThinSmallGap" w:sz="24" w:space="0" w:color="auto"/>
            </w:tcBorders>
          </w:tcPr>
          <w:p w:rsidR="0036264A" w:rsidRPr="009F40C6" w:rsidRDefault="0036264A" w:rsidP="00CE48C4">
            <w:pPr>
              <w:rPr>
                <w:b/>
              </w:rPr>
            </w:pPr>
            <w:r w:rsidRPr="009F40C6">
              <w:rPr>
                <w:b/>
              </w:rPr>
              <w:t>Reference</w:t>
            </w:r>
          </w:p>
        </w:tc>
      </w:tr>
      <w:tr w:rsidR="0036264A" w:rsidTr="0036264A">
        <w:tc>
          <w:tcPr>
            <w:tcW w:w="4675" w:type="dxa"/>
          </w:tcPr>
          <w:p w:rsidR="0036264A" w:rsidRDefault="0036264A" w:rsidP="00CE48C4">
            <w:r>
              <w:t>RRT</w:t>
            </w:r>
          </w:p>
        </w:tc>
        <w:tc>
          <w:tcPr>
            <w:tcW w:w="9203" w:type="dxa"/>
          </w:tcPr>
          <w:p w:rsidR="0036264A" w:rsidRDefault="0036264A" w:rsidP="00CE48C4">
            <w:r>
              <w:t>Chapters 3 &amp; 6</w:t>
            </w:r>
          </w:p>
        </w:tc>
      </w:tr>
      <w:tr w:rsidR="0036264A" w:rsidTr="0036264A">
        <w:tc>
          <w:tcPr>
            <w:tcW w:w="4675" w:type="dxa"/>
          </w:tcPr>
          <w:p w:rsidR="0036264A" w:rsidRDefault="0036264A" w:rsidP="00CE48C4">
            <w:r>
              <w:t>CIFOR</w:t>
            </w:r>
          </w:p>
        </w:tc>
        <w:tc>
          <w:tcPr>
            <w:tcW w:w="9203" w:type="dxa"/>
          </w:tcPr>
          <w:p w:rsidR="0036264A" w:rsidRDefault="0036264A" w:rsidP="00CE48C4">
            <w:r>
              <w:t>3.6</w:t>
            </w:r>
          </w:p>
        </w:tc>
      </w:tr>
      <w:tr w:rsidR="0036264A" w:rsidTr="0036264A">
        <w:tc>
          <w:tcPr>
            <w:tcW w:w="4675" w:type="dxa"/>
          </w:tcPr>
          <w:p w:rsidR="0036264A" w:rsidRDefault="0036264A" w:rsidP="00CE48C4">
            <w:r>
              <w:t>MFRPS</w:t>
            </w:r>
          </w:p>
        </w:tc>
        <w:tc>
          <w:tcPr>
            <w:tcW w:w="9203" w:type="dxa"/>
          </w:tcPr>
          <w:p w:rsidR="0036264A" w:rsidRDefault="0036264A" w:rsidP="00CE48C4">
            <w:r>
              <w:t>5.3.4.2</w:t>
            </w:r>
          </w:p>
        </w:tc>
      </w:tr>
      <w:tr w:rsidR="0036264A" w:rsidTr="0036264A">
        <w:tc>
          <w:tcPr>
            <w:tcW w:w="4675" w:type="dxa"/>
          </w:tcPr>
          <w:p w:rsidR="0036264A" w:rsidRDefault="0036264A" w:rsidP="00CE48C4">
            <w:r>
              <w:t>IAFP</w:t>
            </w:r>
          </w:p>
        </w:tc>
        <w:tc>
          <w:tcPr>
            <w:tcW w:w="9203" w:type="dxa"/>
          </w:tcPr>
          <w:p w:rsidR="0036264A" w:rsidRDefault="0036264A" w:rsidP="00CE48C4">
            <w:r>
              <w:t>Page 73 and 105</w:t>
            </w:r>
          </w:p>
        </w:tc>
      </w:tr>
      <w:tr w:rsidR="0036264A" w:rsidTr="0036264A">
        <w:tc>
          <w:tcPr>
            <w:tcW w:w="4675" w:type="dxa"/>
          </w:tcPr>
          <w:p w:rsidR="0036264A" w:rsidRDefault="0036264A" w:rsidP="00CE48C4">
            <w:r>
              <w:t>NASDA Version 4.0 August 2011</w:t>
            </w:r>
          </w:p>
        </w:tc>
        <w:tc>
          <w:tcPr>
            <w:tcW w:w="9203" w:type="dxa"/>
          </w:tcPr>
          <w:p w:rsidR="0036264A" w:rsidRDefault="0036264A" w:rsidP="00CE48C4">
            <w:r>
              <w:t>VI, IX, XI</w:t>
            </w:r>
          </w:p>
        </w:tc>
      </w:tr>
      <w:tr w:rsidR="0036264A" w:rsidTr="0036264A">
        <w:tc>
          <w:tcPr>
            <w:tcW w:w="4675" w:type="dxa"/>
          </w:tcPr>
          <w:p w:rsidR="0036264A" w:rsidRDefault="0036264A" w:rsidP="00CE48C4">
            <w:r>
              <w:t>NEHA Epi-</w:t>
            </w:r>
          </w:p>
          <w:p w:rsidR="0036264A" w:rsidRDefault="0036264A" w:rsidP="00CE48C4">
            <w:r>
              <w:t>Ready. Foodborne Illness Response</w:t>
            </w:r>
          </w:p>
          <w:p w:rsidR="0036264A" w:rsidRDefault="0036264A" w:rsidP="00CE48C4">
            <w:r>
              <w:t>Strategies. Edition 2012</w:t>
            </w:r>
          </w:p>
        </w:tc>
        <w:tc>
          <w:tcPr>
            <w:tcW w:w="9203" w:type="dxa"/>
          </w:tcPr>
          <w:p w:rsidR="0036264A" w:rsidRDefault="0036264A" w:rsidP="00CE48C4">
            <w:r>
              <w:t>Module 8</w:t>
            </w:r>
          </w:p>
        </w:tc>
      </w:tr>
      <w:tr w:rsidR="0036264A" w:rsidTr="0036264A">
        <w:tc>
          <w:tcPr>
            <w:tcW w:w="4675" w:type="dxa"/>
          </w:tcPr>
          <w:p w:rsidR="0036264A" w:rsidRDefault="0036264A" w:rsidP="00CE48C4">
            <w:r>
              <w:t>NEHA</w:t>
            </w:r>
          </w:p>
          <w:p w:rsidR="0036264A" w:rsidRDefault="0036264A" w:rsidP="00CE48C4">
            <w:r>
              <w:t>I-FITT-RR</w:t>
            </w:r>
          </w:p>
        </w:tc>
        <w:tc>
          <w:tcPr>
            <w:tcW w:w="9203" w:type="dxa"/>
          </w:tcPr>
          <w:p w:rsidR="0036264A" w:rsidRDefault="0036264A" w:rsidP="00CE48C4">
            <w:r>
              <w:t>Module 6 Control Measures</w:t>
            </w:r>
          </w:p>
          <w:p w:rsidR="0036264A" w:rsidRDefault="0036264A" w:rsidP="00CE48C4">
            <w:r>
              <w:t>Module 8 Food Recalls</w:t>
            </w:r>
          </w:p>
        </w:tc>
      </w:tr>
      <w:tr w:rsidR="0036264A" w:rsidTr="0036264A">
        <w:tc>
          <w:tcPr>
            <w:tcW w:w="4675" w:type="dxa"/>
          </w:tcPr>
          <w:p w:rsidR="0036264A" w:rsidRDefault="0036264A" w:rsidP="00CE48C4">
            <w:r w:rsidRPr="00DF1271">
              <w:t>NEHA (CFOI)</w:t>
            </w:r>
          </w:p>
        </w:tc>
        <w:tc>
          <w:tcPr>
            <w:tcW w:w="9203" w:type="dxa"/>
          </w:tcPr>
          <w:p w:rsidR="0036264A" w:rsidRDefault="0036264A" w:rsidP="00CE48C4">
            <w:r>
              <w:t>Preparing for Investigation Reviewing Investigation Findings</w:t>
            </w:r>
          </w:p>
        </w:tc>
      </w:tr>
      <w:tr w:rsidR="0036264A" w:rsidTr="0036264A">
        <w:tc>
          <w:tcPr>
            <w:tcW w:w="4675" w:type="dxa"/>
          </w:tcPr>
          <w:p w:rsidR="0036264A" w:rsidRDefault="0036264A" w:rsidP="00CE48C4">
            <w:r>
              <w:t>IFSCOE</w:t>
            </w:r>
          </w:p>
        </w:tc>
        <w:tc>
          <w:tcPr>
            <w:tcW w:w="9203" w:type="dxa"/>
          </w:tcPr>
          <w:p w:rsidR="0036264A" w:rsidRDefault="0036264A" w:rsidP="00CE48C4">
            <w:r>
              <w:t>Yes</w:t>
            </w:r>
          </w:p>
        </w:tc>
      </w:tr>
      <w:tr w:rsidR="0036264A" w:rsidTr="0036264A">
        <w:tc>
          <w:tcPr>
            <w:tcW w:w="4675" w:type="dxa"/>
          </w:tcPr>
          <w:p w:rsidR="0036264A" w:rsidRDefault="0036264A" w:rsidP="00CE48C4">
            <w:r>
              <w:t>Food Related Emergency Exercise Bundle (FREE)</w:t>
            </w:r>
          </w:p>
        </w:tc>
        <w:tc>
          <w:tcPr>
            <w:tcW w:w="9203" w:type="dxa"/>
          </w:tcPr>
          <w:p w:rsidR="0036264A" w:rsidRDefault="0036264A" w:rsidP="00CE48C4">
            <w:r>
              <w:t>The scenarios presented in the modules address these issues.</w:t>
            </w:r>
          </w:p>
        </w:tc>
      </w:tr>
      <w:tr w:rsidR="0036264A" w:rsidTr="0036264A">
        <w:tc>
          <w:tcPr>
            <w:tcW w:w="13878" w:type="dxa"/>
            <w:gridSpan w:val="2"/>
            <w:shd w:val="clear" w:color="auto" w:fill="BFBFBF"/>
          </w:tcPr>
          <w:p w:rsidR="0036264A" w:rsidRDefault="0036264A" w:rsidP="00CE48C4">
            <w:r>
              <w:t>7. Data Review and Analysis</w:t>
            </w:r>
          </w:p>
        </w:tc>
      </w:tr>
      <w:tr w:rsidR="0036264A" w:rsidTr="0036264A">
        <w:tc>
          <w:tcPr>
            <w:tcW w:w="13878" w:type="dxa"/>
            <w:gridSpan w:val="2"/>
            <w:shd w:val="clear" w:color="auto" w:fill="D9D9D9"/>
          </w:tcPr>
          <w:p w:rsidR="0036264A" w:rsidRDefault="0036264A" w:rsidP="00CE48C4">
            <w:r w:rsidRPr="00CD4FC9">
              <w:t>a. At least once per year, the program conducts a review of the data in the complaint log or database and the foodborne illness and food-related injury* investigations to identify trends and possible contributing factors that are most likely to cause foodborne illness or food-related injury*. These periodic reviews of foodborne illnesses may suggest a need for further investigations and may suggest steps for illness prevention.</w:t>
            </w:r>
          </w:p>
        </w:tc>
      </w:tr>
      <w:tr w:rsidR="0036264A" w:rsidRPr="009F40C6" w:rsidTr="0036264A">
        <w:tc>
          <w:tcPr>
            <w:tcW w:w="4675" w:type="dxa"/>
            <w:tcBorders>
              <w:bottom w:val="thinThickThinSmallGap" w:sz="24" w:space="0" w:color="auto"/>
            </w:tcBorders>
          </w:tcPr>
          <w:p w:rsidR="0036264A" w:rsidRPr="009F40C6" w:rsidRDefault="0036264A" w:rsidP="00CE48C4">
            <w:pPr>
              <w:rPr>
                <w:b/>
              </w:rPr>
            </w:pPr>
            <w:r w:rsidRPr="009F40C6">
              <w:rPr>
                <w:b/>
              </w:rPr>
              <w:t>Tool</w:t>
            </w:r>
          </w:p>
        </w:tc>
        <w:tc>
          <w:tcPr>
            <w:tcW w:w="9203" w:type="dxa"/>
            <w:tcBorders>
              <w:bottom w:val="thinThickThinSmallGap" w:sz="24" w:space="0" w:color="auto"/>
            </w:tcBorders>
          </w:tcPr>
          <w:p w:rsidR="0036264A" w:rsidRPr="009F40C6" w:rsidRDefault="0036264A" w:rsidP="00CE48C4">
            <w:pPr>
              <w:rPr>
                <w:b/>
              </w:rPr>
            </w:pPr>
            <w:r w:rsidRPr="009F40C6">
              <w:rPr>
                <w:b/>
              </w:rPr>
              <w:t>Reference</w:t>
            </w:r>
          </w:p>
        </w:tc>
      </w:tr>
      <w:tr w:rsidR="0036264A" w:rsidTr="0036264A">
        <w:tc>
          <w:tcPr>
            <w:tcW w:w="4675" w:type="dxa"/>
          </w:tcPr>
          <w:p w:rsidR="0036264A" w:rsidRDefault="0036264A" w:rsidP="00CE48C4">
            <w:r>
              <w:t>RRT</w:t>
            </w:r>
          </w:p>
        </w:tc>
        <w:tc>
          <w:tcPr>
            <w:tcW w:w="9203" w:type="dxa"/>
          </w:tcPr>
          <w:p w:rsidR="0036264A" w:rsidRDefault="0036264A" w:rsidP="00CE48C4">
            <w:r>
              <w:t>Chapters 13 &amp; 14</w:t>
            </w:r>
          </w:p>
        </w:tc>
      </w:tr>
      <w:tr w:rsidR="0036264A" w:rsidTr="0036264A">
        <w:tc>
          <w:tcPr>
            <w:tcW w:w="4675" w:type="dxa"/>
          </w:tcPr>
          <w:p w:rsidR="0036264A" w:rsidRDefault="0036264A" w:rsidP="00CE48C4">
            <w:r>
              <w:t>CIFOR</w:t>
            </w:r>
          </w:p>
        </w:tc>
        <w:tc>
          <w:tcPr>
            <w:tcW w:w="9203" w:type="dxa"/>
          </w:tcPr>
          <w:p w:rsidR="0036264A" w:rsidRDefault="0036264A" w:rsidP="00CE48C4">
            <w:r>
              <w:t>4.3, Chapter 8, 5.2.9</w:t>
            </w:r>
          </w:p>
        </w:tc>
      </w:tr>
      <w:tr w:rsidR="0036264A" w:rsidTr="0036264A">
        <w:tc>
          <w:tcPr>
            <w:tcW w:w="4675" w:type="dxa"/>
          </w:tcPr>
          <w:p w:rsidR="0036264A" w:rsidRDefault="0036264A" w:rsidP="00CE48C4">
            <w:r>
              <w:t>IAFP</w:t>
            </w:r>
          </w:p>
        </w:tc>
        <w:tc>
          <w:tcPr>
            <w:tcW w:w="9203" w:type="dxa"/>
          </w:tcPr>
          <w:p w:rsidR="0036264A" w:rsidRDefault="0036264A" w:rsidP="00CE48C4">
            <w:r>
              <w:t>2 &amp; 3</w:t>
            </w:r>
          </w:p>
        </w:tc>
      </w:tr>
      <w:tr w:rsidR="0036264A" w:rsidTr="0036264A">
        <w:tc>
          <w:tcPr>
            <w:tcW w:w="4675" w:type="dxa"/>
          </w:tcPr>
          <w:p w:rsidR="0036264A" w:rsidRDefault="0036264A" w:rsidP="00CE48C4">
            <w:r>
              <w:t>NASDA Version 4.0 August 2011</w:t>
            </w:r>
          </w:p>
        </w:tc>
        <w:tc>
          <w:tcPr>
            <w:tcW w:w="9203" w:type="dxa"/>
          </w:tcPr>
          <w:p w:rsidR="0036264A" w:rsidRDefault="0036264A" w:rsidP="00CE48C4">
            <w:r>
              <w:t>XIV</w:t>
            </w:r>
          </w:p>
        </w:tc>
      </w:tr>
      <w:tr w:rsidR="0036264A" w:rsidTr="0036264A">
        <w:tc>
          <w:tcPr>
            <w:tcW w:w="4675" w:type="dxa"/>
          </w:tcPr>
          <w:p w:rsidR="0036264A" w:rsidRDefault="0036264A" w:rsidP="00CE48C4">
            <w:r>
              <w:t>NEHA Epi-</w:t>
            </w:r>
          </w:p>
          <w:p w:rsidR="0036264A" w:rsidRDefault="0036264A" w:rsidP="00CE48C4">
            <w:r>
              <w:t>Ready. Foodborne Illness Response</w:t>
            </w:r>
          </w:p>
          <w:p w:rsidR="0036264A" w:rsidRDefault="0036264A" w:rsidP="00CE48C4">
            <w:r>
              <w:t>Strategies. Edition 2012</w:t>
            </w:r>
          </w:p>
        </w:tc>
        <w:tc>
          <w:tcPr>
            <w:tcW w:w="9203" w:type="dxa"/>
          </w:tcPr>
          <w:p w:rsidR="0036264A" w:rsidRDefault="0036264A" w:rsidP="00CE48C4">
            <w:r>
              <w:t>Module 2</w:t>
            </w:r>
          </w:p>
        </w:tc>
      </w:tr>
      <w:tr w:rsidR="0036264A" w:rsidTr="0036264A">
        <w:tc>
          <w:tcPr>
            <w:tcW w:w="4675" w:type="dxa"/>
          </w:tcPr>
          <w:p w:rsidR="0036264A" w:rsidRDefault="0036264A" w:rsidP="00CE48C4">
            <w:r>
              <w:t>IFSCOE</w:t>
            </w:r>
          </w:p>
        </w:tc>
        <w:tc>
          <w:tcPr>
            <w:tcW w:w="9203" w:type="dxa"/>
          </w:tcPr>
          <w:p w:rsidR="0036264A" w:rsidRDefault="0036264A" w:rsidP="00CE48C4">
            <w:r>
              <w:t>Yes</w:t>
            </w:r>
          </w:p>
        </w:tc>
      </w:tr>
      <w:tr w:rsidR="0036264A" w:rsidTr="0036264A">
        <w:tc>
          <w:tcPr>
            <w:tcW w:w="4675" w:type="dxa"/>
          </w:tcPr>
          <w:p w:rsidR="0036264A" w:rsidRDefault="0036264A" w:rsidP="00CE48C4">
            <w:r>
              <w:t>Food Related Emergency Exercise Bundle (FREE)</w:t>
            </w:r>
          </w:p>
        </w:tc>
        <w:tc>
          <w:tcPr>
            <w:tcW w:w="9203" w:type="dxa"/>
          </w:tcPr>
          <w:p w:rsidR="0036264A" w:rsidRDefault="0036264A" w:rsidP="00CE48C4">
            <w:r>
              <w:t>The scenarios presented in the modules address these issues.</w:t>
            </w:r>
          </w:p>
        </w:tc>
      </w:tr>
      <w:tr w:rsidR="0036264A" w:rsidTr="0036264A">
        <w:tc>
          <w:tcPr>
            <w:tcW w:w="13878" w:type="dxa"/>
            <w:gridSpan w:val="2"/>
            <w:shd w:val="clear" w:color="auto" w:fill="D9D9D9"/>
          </w:tcPr>
          <w:p w:rsidR="0036264A" w:rsidRDefault="0036264A" w:rsidP="00CE48C4">
            <w:r>
              <w:t xml:space="preserve">b. The review is conducted with prevention in mind and focuses on, but is not limited to, the following: </w:t>
            </w:r>
          </w:p>
          <w:p w:rsidR="0036264A" w:rsidRDefault="0036264A" w:rsidP="00CE48C4">
            <w:r>
              <w:t>1) Foodborne Disease Outbreaks*, Suspect Foodborne Outbreaks* and Confirmed Foodborne Disease Outbreaks* in a single establishment;</w:t>
            </w:r>
          </w:p>
          <w:p w:rsidR="0036264A" w:rsidRDefault="0036264A" w:rsidP="00CE48C4">
            <w:r>
              <w:t>2) Foodborne Disease Outbreaks*, Suspect Foodborne Outbreaks* and Confirmed Disease Outbreaks* in the same establishment type;</w:t>
            </w:r>
          </w:p>
          <w:p w:rsidR="0036264A" w:rsidRDefault="0036264A" w:rsidP="00CE48C4">
            <w:r>
              <w:t>3) Foodborne Disease Outbreaks*, Suspect Foodborne Outbreaks* and Confirmed Foodborne Disease Outbreaks* implicating the same food;</w:t>
            </w:r>
          </w:p>
          <w:p w:rsidR="0036264A" w:rsidRDefault="0036264A" w:rsidP="00CE48C4">
            <w:r>
              <w:lastRenderedPageBreak/>
              <w:t>4) Foodborne Disease outbreaks*, Suspect Foodborne Outbreaks* and Confirmed Foodborne Disease Outbreaks* associated with similar food preparation processes;</w:t>
            </w:r>
          </w:p>
          <w:p w:rsidR="0036264A" w:rsidRDefault="0036264A" w:rsidP="00CE48C4">
            <w:r>
              <w:t>5) Number of confirmed foodborne disease outbreaks*;</w:t>
            </w:r>
          </w:p>
          <w:p w:rsidR="0036264A" w:rsidRDefault="0036264A" w:rsidP="00CE48C4">
            <w:r>
              <w:t>6) Number of foodborne disease outbreaks* and suspect foodborne disease outbreaks*;</w:t>
            </w:r>
          </w:p>
          <w:p w:rsidR="0036264A" w:rsidRDefault="0036264A" w:rsidP="00CE48C4">
            <w:r>
              <w:t>7) Contributing factors most often identified;</w:t>
            </w:r>
          </w:p>
          <w:p w:rsidR="0036264A" w:rsidRDefault="0036264A" w:rsidP="00CE48C4">
            <w:r>
              <w:t>8) Number of complaints involving real and alleged threats of intentional food contamination; and</w:t>
            </w:r>
          </w:p>
          <w:p w:rsidR="0036264A" w:rsidRDefault="0036264A" w:rsidP="00CE48C4">
            <w:r>
              <w:t>9) A number of complaints involving the same agent and any complaints involving unusual agents when agents are identified.</w:t>
            </w:r>
          </w:p>
        </w:tc>
      </w:tr>
      <w:tr w:rsidR="0036264A" w:rsidRPr="009F40C6" w:rsidTr="0036264A">
        <w:tc>
          <w:tcPr>
            <w:tcW w:w="4675" w:type="dxa"/>
            <w:tcBorders>
              <w:bottom w:val="thinThickThinSmallGap" w:sz="24" w:space="0" w:color="auto"/>
            </w:tcBorders>
          </w:tcPr>
          <w:p w:rsidR="0036264A" w:rsidRPr="009F40C6" w:rsidRDefault="0036264A" w:rsidP="00CE48C4">
            <w:pPr>
              <w:rPr>
                <w:b/>
              </w:rPr>
            </w:pPr>
            <w:r w:rsidRPr="009F40C6">
              <w:rPr>
                <w:b/>
              </w:rPr>
              <w:lastRenderedPageBreak/>
              <w:t>Tool</w:t>
            </w:r>
          </w:p>
        </w:tc>
        <w:tc>
          <w:tcPr>
            <w:tcW w:w="9203" w:type="dxa"/>
            <w:tcBorders>
              <w:bottom w:val="thinThickThinSmallGap" w:sz="24" w:space="0" w:color="auto"/>
            </w:tcBorders>
          </w:tcPr>
          <w:p w:rsidR="0036264A" w:rsidRPr="009F40C6" w:rsidRDefault="0036264A" w:rsidP="00CE48C4">
            <w:pPr>
              <w:rPr>
                <w:b/>
              </w:rPr>
            </w:pPr>
            <w:r w:rsidRPr="009F40C6">
              <w:rPr>
                <w:b/>
              </w:rPr>
              <w:t>Reference</w:t>
            </w:r>
          </w:p>
        </w:tc>
      </w:tr>
      <w:tr w:rsidR="0036264A" w:rsidTr="0036264A">
        <w:tc>
          <w:tcPr>
            <w:tcW w:w="4675" w:type="dxa"/>
          </w:tcPr>
          <w:p w:rsidR="0036264A" w:rsidRDefault="0036264A" w:rsidP="00CE48C4">
            <w:r>
              <w:t>RRT</w:t>
            </w:r>
          </w:p>
        </w:tc>
        <w:tc>
          <w:tcPr>
            <w:tcW w:w="9203" w:type="dxa"/>
          </w:tcPr>
          <w:p w:rsidR="0036264A" w:rsidRDefault="0036264A" w:rsidP="00CE48C4">
            <w:r>
              <w:t>Chapters 13 &amp; 14</w:t>
            </w:r>
          </w:p>
        </w:tc>
      </w:tr>
      <w:tr w:rsidR="0036264A" w:rsidTr="0036264A">
        <w:tc>
          <w:tcPr>
            <w:tcW w:w="4675" w:type="dxa"/>
          </w:tcPr>
          <w:p w:rsidR="0036264A" w:rsidRDefault="0036264A" w:rsidP="00CE48C4">
            <w:r>
              <w:t>CIFOR</w:t>
            </w:r>
          </w:p>
        </w:tc>
        <w:tc>
          <w:tcPr>
            <w:tcW w:w="9203" w:type="dxa"/>
          </w:tcPr>
          <w:p w:rsidR="0036264A" w:rsidRDefault="0036264A" w:rsidP="00CE48C4">
            <w:r>
              <w:t>4.3, Chapter 8</w:t>
            </w:r>
          </w:p>
        </w:tc>
      </w:tr>
      <w:tr w:rsidR="0036264A" w:rsidTr="0036264A">
        <w:tc>
          <w:tcPr>
            <w:tcW w:w="4675" w:type="dxa"/>
          </w:tcPr>
          <w:p w:rsidR="0036264A" w:rsidRDefault="0036264A" w:rsidP="00CE48C4">
            <w:r>
              <w:t>IFSCOE</w:t>
            </w:r>
          </w:p>
        </w:tc>
        <w:tc>
          <w:tcPr>
            <w:tcW w:w="9203" w:type="dxa"/>
          </w:tcPr>
          <w:p w:rsidR="0036264A" w:rsidRDefault="0036264A" w:rsidP="00CE48C4">
            <w:r>
              <w:t>Campylobacter Outbreak at a Colorado Correctional Facility A Foodborne Outbreak Investigation Case Study</w:t>
            </w:r>
          </w:p>
          <w:p w:rsidR="0036264A" w:rsidRDefault="0036264A" w:rsidP="00CE48C4">
            <w:r>
              <w:t>[ Available at the COE in Colorado]</w:t>
            </w:r>
          </w:p>
        </w:tc>
      </w:tr>
      <w:tr w:rsidR="0036264A" w:rsidTr="0036264A">
        <w:tc>
          <w:tcPr>
            <w:tcW w:w="13878" w:type="dxa"/>
            <w:gridSpan w:val="2"/>
            <w:shd w:val="clear" w:color="auto" w:fill="D9D9D9"/>
          </w:tcPr>
          <w:p w:rsidR="0036264A" w:rsidRDefault="0036264A" w:rsidP="00CE48C4">
            <w:r w:rsidRPr="00CD4FC9">
              <w:t>c. In the event that there have been no food-related illness or food-related injury* outbreak investigations conducted during the twelve months prior to the data review and analysis, program management will plan and conduct a mock foodborne illness investigation to test program readiness. The mock investigation should simulate a response to an actual confirmed foodborne disease outbreak* and include on-site inspection, sample collection, and analysis. A mock investigation must be completed at least once per year when no foodborne disease outbreak* investigations occur.</w:t>
            </w:r>
          </w:p>
        </w:tc>
      </w:tr>
      <w:tr w:rsidR="0036264A" w:rsidRPr="009F40C6" w:rsidTr="0036264A">
        <w:tc>
          <w:tcPr>
            <w:tcW w:w="4675" w:type="dxa"/>
            <w:tcBorders>
              <w:bottom w:val="thinThickThinSmallGap" w:sz="24" w:space="0" w:color="auto"/>
            </w:tcBorders>
          </w:tcPr>
          <w:p w:rsidR="0036264A" w:rsidRPr="009F40C6" w:rsidRDefault="0036264A" w:rsidP="00CE48C4">
            <w:pPr>
              <w:rPr>
                <w:b/>
              </w:rPr>
            </w:pPr>
            <w:r w:rsidRPr="009F40C6">
              <w:rPr>
                <w:b/>
              </w:rPr>
              <w:t>Tool</w:t>
            </w:r>
          </w:p>
        </w:tc>
        <w:tc>
          <w:tcPr>
            <w:tcW w:w="9203" w:type="dxa"/>
            <w:tcBorders>
              <w:bottom w:val="thinThickThinSmallGap" w:sz="24" w:space="0" w:color="auto"/>
            </w:tcBorders>
          </w:tcPr>
          <w:p w:rsidR="0036264A" w:rsidRPr="009F40C6" w:rsidRDefault="0036264A" w:rsidP="00CE48C4">
            <w:pPr>
              <w:rPr>
                <w:b/>
              </w:rPr>
            </w:pPr>
            <w:r w:rsidRPr="009F40C6">
              <w:rPr>
                <w:b/>
              </w:rPr>
              <w:t>Reference</w:t>
            </w:r>
          </w:p>
        </w:tc>
      </w:tr>
      <w:tr w:rsidR="0036264A" w:rsidTr="0036264A">
        <w:tc>
          <w:tcPr>
            <w:tcW w:w="4675" w:type="dxa"/>
          </w:tcPr>
          <w:p w:rsidR="0036264A" w:rsidRDefault="0036264A" w:rsidP="00CE48C4">
            <w:r>
              <w:t>RRT</w:t>
            </w:r>
          </w:p>
        </w:tc>
        <w:tc>
          <w:tcPr>
            <w:tcW w:w="9203" w:type="dxa"/>
          </w:tcPr>
          <w:p w:rsidR="0036264A" w:rsidRDefault="0036264A" w:rsidP="00CE48C4">
            <w:r>
              <w:t>Chapter 8</w:t>
            </w:r>
          </w:p>
        </w:tc>
      </w:tr>
      <w:tr w:rsidR="0036264A" w:rsidTr="0036264A">
        <w:tc>
          <w:tcPr>
            <w:tcW w:w="4675" w:type="dxa"/>
          </w:tcPr>
          <w:p w:rsidR="0036264A" w:rsidRDefault="0036264A" w:rsidP="00CE48C4">
            <w:r>
              <w:t>IFSCOE</w:t>
            </w:r>
          </w:p>
        </w:tc>
        <w:tc>
          <w:tcPr>
            <w:tcW w:w="9203" w:type="dxa"/>
          </w:tcPr>
          <w:p w:rsidR="0036264A" w:rsidRDefault="0036264A" w:rsidP="00CE48C4">
            <w:r w:rsidRPr="00CD4FC9">
              <w:t>Mock scenarios are  part of the investigative process</w:t>
            </w:r>
          </w:p>
        </w:tc>
      </w:tr>
    </w:tbl>
    <w:p w:rsidR="00F95200" w:rsidRDefault="00F95200" w:rsidP="0036264A"/>
    <w:sectPr w:rsidR="00F95200">
      <w:pgSz w:w="15840" w:h="12240" w:orient="landscape"/>
      <w:pgMar w:top="1140" w:right="860" w:bottom="1100" w:left="780" w:header="0" w:footer="9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8C4" w:rsidRDefault="00CE48C4">
      <w:r>
        <w:separator/>
      </w:r>
    </w:p>
  </w:endnote>
  <w:endnote w:type="continuationSeparator" w:id="0">
    <w:p w:rsidR="00CE48C4" w:rsidRDefault="00CE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8C4" w:rsidRDefault="00CE48C4">
    <w:pPr>
      <w:pStyle w:val="BodyText"/>
      <w:kinsoku w:val="0"/>
      <w:overflowPunct w:val="0"/>
      <w:spacing w:line="14" w:lineRule="auto"/>
      <w:rPr>
        <w:rFonts w:ascii="Times New Roman" w:hAnsi="Times New Roman" w:cs="Times New Roman"/>
        <w:sz w:val="16"/>
        <w:szCs w:val="16"/>
      </w:rPr>
    </w:pPr>
    <w:r>
      <w:rPr>
        <w:noProof/>
      </w:rPr>
      <mc:AlternateContent>
        <mc:Choice Requires="wps">
          <w:drawing>
            <wp:anchor distT="0" distB="0" distL="114300" distR="114300" simplePos="0" relativeHeight="251656704" behindDoc="1" locked="0" layoutInCell="0" allowOverlap="1">
              <wp:simplePos x="0" y="0"/>
              <wp:positionH relativeFrom="page">
                <wp:posOffset>482600</wp:posOffset>
              </wp:positionH>
              <wp:positionV relativeFrom="page">
                <wp:posOffset>7004685</wp:posOffset>
              </wp:positionV>
              <wp:extent cx="314007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8C4" w:rsidRDefault="00CE48C4">
                          <w:pPr>
                            <w:pStyle w:val="BodyText"/>
                            <w:kinsoku w:val="0"/>
                            <w:overflowPunct w:val="0"/>
                            <w:spacing w:before="13"/>
                            <w:ind w:left="20"/>
                            <w:rPr>
                              <w:sz w:val="22"/>
                              <w:szCs w:val="22"/>
                            </w:rPr>
                          </w:pPr>
                          <w:r>
                            <w:rPr>
                              <w:sz w:val="22"/>
                              <w:szCs w:val="22"/>
                            </w:rPr>
                            <w:t>Draft Revision 10/24/19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pt;margin-top:551.55pt;width:247.25pt;height:14.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LrAIAAKk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" o:allowincell="f" filled="f" stroked="f">
              <v:textbox inset="0,0,0,0">
                <w:txbxContent>
                  <w:p w:rsidR="00CE48C4" w:rsidRDefault="00CE48C4">
                    <w:pPr>
                      <w:pStyle w:val="BodyText"/>
                      <w:kinsoku w:val="0"/>
                      <w:overflowPunct w:val="0"/>
                      <w:spacing w:before="13"/>
                      <w:ind w:left="20"/>
                      <w:rPr>
                        <w:sz w:val="22"/>
                        <w:szCs w:val="22"/>
                      </w:rPr>
                    </w:pPr>
                    <w:r>
                      <w:rPr>
                        <w:sz w:val="22"/>
                        <w:szCs w:val="22"/>
                      </w:rPr>
                      <w:t>Draft Revision 10/24/19</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7799070</wp:posOffset>
              </wp:positionH>
              <wp:positionV relativeFrom="page">
                <wp:posOffset>7004685</wp:posOffset>
              </wp:positionV>
              <wp:extent cx="1035685" cy="1822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8C4" w:rsidRDefault="00CE48C4">
                          <w:pPr>
                            <w:pStyle w:val="BodyText"/>
                            <w:kinsoku w:val="0"/>
                            <w:overflowPunct w:val="0"/>
                            <w:spacing w:before="13"/>
                            <w:ind w:left="2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14.1pt;margin-top:551.55pt;width:81.5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tlrg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" o:allowincell="f" filled="f" stroked="f">
              <v:textbox inset="0,0,0,0">
                <w:txbxContent>
                  <w:p w:rsidR="00CE48C4" w:rsidRDefault="00CE48C4">
                    <w:pPr>
                      <w:pStyle w:val="BodyText"/>
                      <w:kinsoku w:val="0"/>
                      <w:overflowPunct w:val="0"/>
                      <w:spacing w:before="13"/>
                      <w:ind w:left="20"/>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8C4" w:rsidRDefault="00CE48C4">
      <w:r>
        <w:separator/>
      </w:r>
    </w:p>
  </w:footnote>
  <w:footnote w:type="continuationSeparator" w:id="0">
    <w:p w:rsidR="00CE48C4" w:rsidRDefault="00CE4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806539"/>
      <w:docPartObj>
        <w:docPartGallery w:val="Watermarks"/>
        <w:docPartUnique/>
      </w:docPartObj>
    </w:sdtPr>
    <w:sdtContent>
      <w:p w:rsidR="00CE48C4" w:rsidRDefault="00CE48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380" w:hanging="360"/>
      </w:pPr>
      <w:rPr>
        <w:rFonts w:ascii="Arial" w:hAnsi="Arial" w:cs="Arial"/>
        <w:b w:val="0"/>
        <w:bCs w:val="0"/>
        <w:spacing w:val="-4"/>
        <w:w w:val="97"/>
        <w:sz w:val="24"/>
        <w:szCs w:val="24"/>
      </w:rPr>
    </w:lvl>
    <w:lvl w:ilvl="1">
      <w:numFmt w:val="bullet"/>
      <w:lvlText w:val="•"/>
      <w:lvlJc w:val="left"/>
      <w:pPr>
        <w:ind w:left="2662" w:hanging="360"/>
      </w:pPr>
    </w:lvl>
    <w:lvl w:ilvl="2">
      <w:numFmt w:val="bullet"/>
      <w:lvlText w:val="•"/>
      <w:lvlJc w:val="left"/>
      <w:pPr>
        <w:ind w:left="3944" w:hanging="360"/>
      </w:pPr>
    </w:lvl>
    <w:lvl w:ilvl="3">
      <w:numFmt w:val="bullet"/>
      <w:lvlText w:val="•"/>
      <w:lvlJc w:val="left"/>
      <w:pPr>
        <w:ind w:left="5226" w:hanging="360"/>
      </w:pPr>
    </w:lvl>
    <w:lvl w:ilvl="4">
      <w:numFmt w:val="bullet"/>
      <w:lvlText w:val="•"/>
      <w:lvlJc w:val="left"/>
      <w:pPr>
        <w:ind w:left="6508" w:hanging="360"/>
      </w:pPr>
    </w:lvl>
    <w:lvl w:ilvl="5">
      <w:numFmt w:val="bullet"/>
      <w:lvlText w:val="•"/>
      <w:lvlJc w:val="left"/>
      <w:pPr>
        <w:ind w:left="7790" w:hanging="360"/>
      </w:pPr>
    </w:lvl>
    <w:lvl w:ilvl="6">
      <w:numFmt w:val="bullet"/>
      <w:lvlText w:val="•"/>
      <w:lvlJc w:val="left"/>
      <w:pPr>
        <w:ind w:left="9072" w:hanging="360"/>
      </w:pPr>
    </w:lvl>
    <w:lvl w:ilvl="7">
      <w:numFmt w:val="bullet"/>
      <w:lvlText w:val="•"/>
      <w:lvlJc w:val="left"/>
      <w:pPr>
        <w:ind w:left="10354" w:hanging="360"/>
      </w:pPr>
    </w:lvl>
    <w:lvl w:ilvl="8">
      <w:numFmt w:val="bullet"/>
      <w:lvlText w:val="•"/>
      <w:lvlJc w:val="left"/>
      <w:pPr>
        <w:ind w:left="11636" w:hanging="360"/>
      </w:pPr>
    </w:lvl>
  </w:abstractNum>
  <w:abstractNum w:abstractNumId="1" w15:restartNumberingAfterBreak="0">
    <w:nsid w:val="00000403"/>
    <w:multiLevelType w:val="multilevel"/>
    <w:tmpl w:val="00000886"/>
    <w:lvl w:ilvl="0">
      <w:start w:val="2"/>
      <w:numFmt w:val="decimal"/>
      <w:lvlText w:val="%1)"/>
      <w:lvlJc w:val="left"/>
      <w:pPr>
        <w:ind w:left="112" w:hanging="212"/>
      </w:pPr>
      <w:rPr>
        <w:rFonts w:ascii="Arial" w:hAnsi="Arial" w:cs="Arial"/>
        <w:b w:val="0"/>
        <w:bCs w:val="0"/>
        <w:spacing w:val="0"/>
        <w:w w:val="80"/>
        <w:sz w:val="22"/>
        <w:szCs w:val="22"/>
      </w:rPr>
    </w:lvl>
    <w:lvl w:ilvl="1">
      <w:numFmt w:val="bullet"/>
      <w:lvlText w:val="•"/>
      <w:lvlJc w:val="left"/>
      <w:pPr>
        <w:ind w:left="387" w:hanging="212"/>
      </w:pPr>
    </w:lvl>
    <w:lvl w:ilvl="2">
      <w:numFmt w:val="bullet"/>
      <w:lvlText w:val="•"/>
      <w:lvlJc w:val="left"/>
      <w:pPr>
        <w:ind w:left="655" w:hanging="212"/>
      </w:pPr>
    </w:lvl>
    <w:lvl w:ilvl="3">
      <w:numFmt w:val="bullet"/>
      <w:lvlText w:val="•"/>
      <w:lvlJc w:val="left"/>
      <w:pPr>
        <w:ind w:left="922" w:hanging="212"/>
      </w:pPr>
    </w:lvl>
    <w:lvl w:ilvl="4">
      <w:numFmt w:val="bullet"/>
      <w:lvlText w:val="•"/>
      <w:lvlJc w:val="left"/>
      <w:pPr>
        <w:ind w:left="1190" w:hanging="212"/>
      </w:pPr>
    </w:lvl>
    <w:lvl w:ilvl="5">
      <w:numFmt w:val="bullet"/>
      <w:lvlText w:val="•"/>
      <w:lvlJc w:val="left"/>
      <w:pPr>
        <w:ind w:left="1458" w:hanging="212"/>
      </w:pPr>
    </w:lvl>
    <w:lvl w:ilvl="6">
      <w:numFmt w:val="bullet"/>
      <w:lvlText w:val="•"/>
      <w:lvlJc w:val="left"/>
      <w:pPr>
        <w:ind w:left="1725" w:hanging="212"/>
      </w:pPr>
    </w:lvl>
    <w:lvl w:ilvl="7">
      <w:numFmt w:val="bullet"/>
      <w:lvlText w:val="•"/>
      <w:lvlJc w:val="left"/>
      <w:pPr>
        <w:ind w:left="1993" w:hanging="212"/>
      </w:pPr>
    </w:lvl>
    <w:lvl w:ilvl="8">
      <w:numFmt w:val="bullet"/>
      <w:lvlText w:val="•"/>
      <w:lvlJc w:val="left"/>
      <w:pPr>
        <w:ind w:left="2260" w:hanging="212"/>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4"/>
    <o:shapelayout v:ext="edit">
      <o:idmap v:ext="edit" data="8"/>
    </o:shapelayout>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E1"/>
    <w:rsid w:val="001269E1"/>
    <w:rsid w:val="00130C24"/>
    <w:rsid w:val="00151B62"/>
    <w:rsid w:val="002163CE"/>
    <w:rsid w:val="002D36A7"/>
    <w:rsid w:val="00361519"/>
    <w:rsid w:val="0036264A"/>
    <w:rsid w:val="005C13F0"/>
    <w:rsid w:val="006C14FC"/>
    <w:rsid w:val="00A1237B"/>
    <w:rsid w:val="00AD6E0B"/>
    <w:rsid w:val="00C348C4"/>
    <w:rsid w:val="00C34EC4"/>
    <w:rsid w:val="00C50066"/>
    <w:rsid w:val="00CA0853"/>
    <w:rsid w:val="00CE48C4"/>
    <w:rsid w:val="00D73CEC"/>
    <w:rsid w:val="00DC0F9D"/>
    <w:rsid w:val="00F9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6B11C7D0"/>
  <w14:defaultImageDpi w14:val="0"/>
  <w15:docId w15:val="{A2729F67-0AA3-43F1-A042-2079C30C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spacing w:before="1"/>
      <w:ind w:left="1380" w:hanging="360"/>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36264A"/>
    <w:pPr>
      <w:tabs>
        <w:tab w:val="center" w:pos="4680"/>
        <w:tab w:val="right" w:pos="9360"/>
      </w:tabs>
    </w:pPr>
  </w:style>
  <w:style w:type="character" w:customStyle="1" w:styleId="HeaderChar">
    <w:name w:val="Header Char"/>
    <w:basedOn w:val="DefaultParagraphFont"/>
    <w:link w:val="Header"/>
    <w:uiPriority w:val="99"/>
    <w:rsid w:val="0036264A"/>
    <w:rPr>
      <w:rFonts w:ascii="Arial" w:hAnsi="Arial" w:cs="Arial"/>
    </w:rPr>
  </w:style>
  <w:style w:type="paragraph" w:styleId="Footer">
    <w:name w:val="footer"/>
    <w:basedOn w:val="Normal"/>
    <w:link w:val="FooterChar"/>
    <w:uiPriority w:val="99"/>
    <w:unhideWhenUsed/>
    <w:rsid w:val="0036264A"/>
    <w:pPr>
      <w:tabs>
        <w:tab w:val="center" w:pos="4680"/>
        <w:tab w:val="right" w:pos="9360"/>
      </w:tabs>
    </w:pPr>
  </w:style>
  <w:style w:type="character" w:customStyle="1" w:styleId="FooterChar">
    <w:name w:val="Footer Char"/>
    <w:basedOn w:val="DefaultParagraphFont"/>
    <w:link w:val="Footer"/>
    <w:uiPriority w:val="99"/>
    <w:rsid w:val="0036264A"/>
    <w:rPr>
      <w:rFonts w:ascii="Arial" w:hAnsi="Arial" w:cs="Arial"/>
    </w:rPr>
  </w:style>
  <w:style w:type="table" w:styleId="TableGrid">
    <w:name w:val="Table Grid"/>
    <w:basedOn w:val="TableNormal"/>
    <w:uiPriority w:val="39"/>
    <w:rsid w:val="0036264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71BBB-E0A2-4D41-B14B-729971D0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3137</Words>
  <Characters>18767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Crosswalk - Requirements for Foodborne Illness Training Programs Based on Standard 5</vt:lpstr>
    </vt:vector>
  </TitlesOfParts>
  <Company/>
  <LinksUpToDate>false</LinksUpToDate>
  <CharactersWithSpaces>21861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Crosswalk - Requirements for Foodborne Illness Training Programs Based on Standard 5</dc:title>
  <dc:subject/>
  <dc:creator>Steele, James</dc:creator>
  <cp:keywords/>
  <dc:description/>
  <cp:lastModifiedBy>Cyr, Angie (MDH)</cp:lastModifiedBy>
  <cp:revision>4</cp:revision>
  <dcterms:created xsi:type="dcterms:W3CDTF">2019-10-25T13:12:00Z</dcterms:created>
  <dcterms:modified xsi:type="dcterms:W3CDTF">2019-12-03T15:51:00Z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