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52F9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52F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852F9C">
      <w:pPr>
        <w:rPr>
          <w:rFonts w:ascii="Arial" w:hAnsi="Arial" w:cs="Arial"/>
          <w:b/>
        </w:rPr>
      </w:pPr>
    </w:p>
    <w:p w:rsidR="00000000" w:rsidRDefault="00852F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III-027</w:t>
      </w:r>
    </w:p>
    <w:p w:rsidR="00000000" w:rsidRDefault="00852F9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52F9C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52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52F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2F9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52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2F9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2F9C">
            <w:pPr>
              <w:rPr>
                <w:rFonts w:ascii="Arial" w:hAnsi="Arial" w:cs="Arial"/>
                <w:b/>
              </w:rPr>
            </w:pPr>
          </w:p>
          <w:p w:rsidR="00000000" w:rsidRDefault="00852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2F9C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52F9C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52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2F9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52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2F9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2F9C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2F9C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52F9C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852F9C">
      <w:pPr>
        <w:rPr>
          <w:rFonts w:ascii="Arial" w:hAnsi="Arial" w:cs="Arial"/>
          <w:b/>
        </w:rPr>
      </w:pPr>
    </w:p>
    <w:p w:rsidR="00000000" w:rsidRDefault="00852F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52F9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-Hand Cleanse-Sanitize Protocol Not Requiring Running Water</w:t>
      </w:r>
    </w:p>
    <w:p w:rsidR="00000000" w:rsidRDefault="00852F9C">
      <w:pPr>
        <w:rPr>
          <w:rFonts w:ascii="Arial" w:eastAsia="Times New Roman" w:hAnsi="Arial" w:cs="Arial"/>
        </w:rPr>
      </w:pPr>
    </w:p>
    <w:p w:rsidR="00000000" w:rsidRDefault="00852F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52F9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most current edition of the Food Code be amended as follows (new languag</w:t>
      </w:r>
      <w:r>
        <w:rPr>
          <w:rFonts w:ascii="Arial" w:hAnsi="Arial" w:cs="Arial"/>
        </w:rPr>
        <w:t>e underlined):</w:t>
      </w:r>
    </w:p>
    <w:p w:rsidR="00000000" w:rsidRDefault="00852F9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5-203.11 Handwashing Sinks</w:t>
      </w:r>
    </w:p>
    <w:p w:rsidR="00000000" w:rsidRDefault="00852F9C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(D) When food exposure is limited and handwashing sinks are not conveniently located, such as at outdoor events, mobile or temporary food service, and vending machine locations, employees may use a regimen using ha</w:t>
      </w:r>
      <w:r>
        <w:rPr>
          <w:rFonts w:ascii="Arial" w:hAnsi="Arial" w:cs="Arial"/>
          <w:u w:val="single"/>
        </w:rPr>
        <w:t>nd antiseptic as the cleansing agent wherein this step is treated as a handwash with full scrubbing action for 15 seconds and then, while wet, wiped off with a single-use paper towel, immediately followed by a second application which is allowed to dry per</w:t>
      </w:r>
      <w:r>
        <w:rPr>
          <w:rFonts w:ascii="Arial" w:hAnsi="Arial" w:cs="Arial"/>
          <w:u w:val="single"/>
        </w:rPr>
        <w:t xml:space="preserve"> standard label instruction.</w:t>
      </w:r>
    </w:p>
    <w:p w:rsidR="00000000" w:rsidRDefault="00852F9C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(1) Said hand antiseptic shall meet requirements as specified in Section 2-301.16.</w:t>
      </w:r>
    </w:p>
    <w:p w:rsidR="00000000" w:rsidRDefault="00852F9C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(2) Said hand antiseptic shall have supporting test data indicating statistical equivalence to a standard handwash in hand degerming.</w:t>
      </w:r>
    </w:p>
    <w:p w:rsidR="00000000" w:rsidRDefault="00852F9C">
      <w:pPr>
        <w:rPr>
          <w:rFonts w:ascii="Arial" w:eastAsia="Times New Roman" w:hAnsi="Arial" w:cs="Arial"/>
        </w:rPr>
      </w:pPr>
    </w:p>
    <w:p w:rsidR="00000000" w:rsidRDefault="00852F9C">
      <w:pPr>
        <w:rPr>
          <w:rFonts w:ascii="Arial" w:hAnsi="Arial" w:cs="Arial"/>
          <w:b/>
        </w:rPr>
      </w:pPr>
    </w:p>
    <w:p w:rsidR="00000000" w:rsidRDefault="00852F9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</w:t>
      </w:r>
      <w:r>
        <w:rPr>
          <w:rStyle w:val="Emphasis"/>
          <w:rFonts w:ascii="Arial" w:hAnsi="Arial" w:cs="Arial"/>
          <w:sz w:val="20"/>
          <w:szCs w:val="20"/>
        </w:rPr>
        <w:t>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9C"/>
    <w:rsid w:val="008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4</DocSecurity>
  <Lines>10</Lines>
  <Paragraphs>2</Paragraphs>
  <ScaleCrop>false</ScaleCrop>
  <Company>Conference for Food Safety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