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52B" w:rsidRPr="000C5D1D" w:rsidRDefault="00CD752B" w:rsidP="00CD752B">
      <w:pPr>
        <w:widowControl/>
        <w:autoSpaceDE/>
        <w:autoSpaceDN/>
        <w:jc w:val="center"/>
        <w:rPr>
          <w:rFonts w:eastAsia="Times New Roman" w:cs="Times New Roman"/>
          <w:b/>
          <w:sz w:val="36"/>
          <w:szCs w:val="36"/>
        </w:rPr>
      </w:pPr>
      <w:r>
        <w:rPr>
          <w:b/>
          <w:i/>
          <w:sz w:val="28"/>
        </w:rPr>
        <w:t xml:space="preserve">Single Hazard Special Process HACCP Template for </w:t>
      </w:r>
    </w:p>
    <w:p w:rsidR="00CD752B" w:rsidRDefault="00CD752B" w:rsidP="00CD752B">
      <w:pPr>
        <w:pStyle w:val="BodyText"/>
        <w:rPr>
          <w:rFonts w:ascii="Times New Roman"/>
          <w:sz w:val="20"/>
        </w:rPr>
      </w:pPr>
    </w:p>
    <w:p w:rsidR="00CD752B" w:rsidRDefault="00CD752B" w:rsidP="00CD752B">
      <w:pPr>
        <w:widowControl/>
        <w:autoSpaceDE/>
        <w:autoSpaceDN/>
        <w:jc w:val="center"/>
        <w:rPr>
          <w:rFonts w:eastAsia="Times New Roman" w:cs="Times New Roman"/>
          <w:b/>
          <w:color w:val="000000"/>
          <w:sz w:val="36"/>
          <w:szCs w:val="36"/>
          <w:shd w:val="clear" w:color="auto" w:fill="FFFFFF"/>
        </w:rPr>
      </w:pPr>
      <w:r>
        <w:rPr>
          <w:rFonts w:eastAsia="Times New Roman" w:cs="Times New Roman"/>
          <w:b/>
          <w:color w:val="000000"/>
          <w:sz w:val="36"/>
          <w:szCs w:val="36"/>
          <w:shd w:val="clear" w:color="auto" w:fill="FFFFFF"/>
        </w:rPr>
        <w:t>Curing as a Single Special Process</w:t>
      </w:r>
    </w:p>
    <w:p w:rsidR="00CD752B" w:rsidRPr="00066F2F" w:rsidRDefault="00CD752B" w:rsidP="00CD752B">
      <w:pPr>
        <w:jc w:val="center"/>
        <w:rPr>
          <w:i/>
          <w:color w:val="FF0000"/>
        </w:rPr>
      </w:pPr>
      <w:r>
        <w:rPr>
          <w:i/>
          <w:color w:val="FF0000"/>
        </w:rPr>
        <w:t xml:space="preserve">Regulatory Agency </w:t>
      </w:r>
      <w:r w:rsidRPr="00066F2F">
        <w:rPr>
          <w:i/>
          <w:color w:val="FF0000"/>
        </w:rPr>
        <w:t>Jurisdiction</w:t>
      </w:r>
      <w:r>
        <w:rPr>
          <w:i/>
          <w:color w:val="FF0000"/>
        </w:rPr>
        <w:t xml:space="preserve"> NAME</w:t>
      </w:r>
      <w:r w:rsidRPr="00066F2F">
        <w:rPr>
          <w:i/>
          <w:color w:val="FF0000"/>
        </w:rPr>
        <w:t xml:space="preserve"> (fill in form)</w:t>
      </w:r>
    </w:p>
    <w:p w:rsidR="00CD752B" w:rsidRDefault="00CD752B" w:rsidP="00CD752B">
      <w:pPr>
        <w:jc w:val="center"/>
      </w:pPr>
    </w:p>
    <w:p w:rsidR="00CD752B" w:rsidRDefault="00CD752B" w:rsidP="00CD752B">
      <w:pPr>
        <w:jc w:val="center"/>
      </w:pPr>
      <w:r>
        <w:t>Date Submitted __________ Date Approved ________ Valid until ___________</w:t>
      </w:r>
    </w:p>
    <w:p w:rsidR="00CD752B" w:rsidRDefault="00CD752B" w:rsidP="00CD752B"/>
    <w:p w:rsidR="00CD752B" w:rsidRDefault="00CD752B" w:rsidP="00CD752B">
      <w:pPr>
        <w:pStyle w:val="Heading1"/>
      </w:pPr>
      <w:r>
        <w:t>A. General Information</w:t>
      </w:r>
    </w:p>
    <w:tbl>
      <w:tblPr>
        <w:tblStyle w:val="TableGrid"/>
        <w:tblW w:w="0" w:type="auto"/>
        <w:tblBorders>
          <w:insideH w:val="none" w:sz="0" w:space="0" w:color="auto"/>
          <w:insideV w:val="none" w:sz="0" w:space="0" w:color="auto"/>
        </w:tblBorders>
        <w:shd w:val="clear" w:color="auto" w:fill="01FFFF"/>
        <w:tblLook w:val="04A0" w:firstRow="1" w:lastRow="0" w:firstColumn="1" w:lastColumn="0" w:noHBand="0" w:noVBand="1"/>
      </w:tblPr>
      <w:tblGrid>
        <w:gridCol w:w="9796"/>
      </w:tblGrid>
      <w:tr w:rsidR="00CD752B" w:rsidTr="00983FA0">
        <w:tc>
          <w:tcPr>
            <w:tcW w:w="9796" w:type="dxa"/>
            <w:shd w:val="clear" w:color="auto" w:fill="01FFFF"/>
          </w:tcPr>
          <w:p w:rsidR="00CD752B" w:rsidRPr="00171D87" w:rsidRDefault="00CD752B" w:rsidP="00983FA0">
            <w:pPr>
              <w:rPr>
                <w:sz w:val="22"/>
                <w:szCs w:val="22"/>
              </w:rPr>
            </w:pPr>
            <w:r w:rsidRPr="00171D87">
              <w:rPr>
                <w:sz w:val="22"/>
                <w:szCs w:val="22"/>
              </w:rPr>
              <w:t>This is a placeholder for the general information needed: e.g. operator name, location, P</w:t>
            </w:r>
            <w:r>
              <w:rPr>
                <w:sz w:val="22"/>
                <w:szCs w:val="22"/>
              </w:rPr>
              <w:t>erson-in-</w:t>
            </w:r>
            <w:r w:rsidRPr="00171D87">
              <w:rPr>
                <w:sz w:val="22"/>
                <w:szCs w:val="22"/>
              </w:rPr>
              <w:t>C</w:t>
            </w:r>
            <w:r>
              <w:rPr>
                <w:sz w:val="22"/>
                <w:szCs w:val="22"/>
              </w:rPr>
              <w:t>harge (PIC) N</w:t>
            </w:r>
            <w:r w:rsidRPr="00171D87">
              <w:rPr>
                <w:sz w:val="22"/>
                <w:szCs w:val="22"/>
              </w:rPr>
              <w:t>ame, contact information, etc.</w:t>
            </w:r>
          </w:p>
          <w:p w:rsidR="00CD752B" w:rsidRDefault="00CD752B" w:rsidP="00983FA0">
            <w:pPr>
              <w:rPr>
                <w:i/>
                <w:color w:val="FF0000"/>
                <w:sz w:val="22"/>
                <w:szCs w:val="22"/>
              </w:rPr>
            </w:pPr>
            <w:r w:rsidRPr="00171D87">
              <w:rPr>
                <w:i/>
                <w:color w:val="FF0000"/>
                <w:sz w:val="22"/>
                <w:szCs w:val="22"/>
              </w:rPr>
              <w:t>fill in form</w:t>
            </w:r>
          </w:p>
          <w:p w:rsidR="00CD752B" w:rsidRDefault="00CD752B" w:rsidP="00983FA0">
            <w:pPr>
              <w:rPr>
                <w:i/>
                <w:color w:val="FF0000"/>
                <w:sz w:val="22"/>
                <w:szCs w:val="22"/>
              </w:rPr>
            </w:pPr>
          </w:p>
          <w:p w:rsidR="00CD752B" w:rsidRDefault="00CD752B" w:rsidP="00983FA0">
            <w:pPr>
              <w:rPr>
                <w:i/>
                <w:color w:val="FF0000"/>
                <w:sz w:val="22"/>
                <w:szCs w:val="22"/>
              </w:rPr>
            </w:pPr>
          </w:p>
          <w:p w:rsidR="00CD752B" w:rsidRDefault="00CD752B" w:rsidP="00983FA0">
            <w:pPr>
              <w:rPr>
                <w:i/>
                <w:color w:val="FF0000"/>
                <w:sz w:val="22"/>
                <w:szCs w:val="22"/>
              </w:rPr>
            </w:pPr>
          </w:p>
          <w:p w:rsidR="00CD752B" w:rsidRDefault="00CD752B" w:rsidP="00983FA0">
            <w:pPr>
              <w:rPr>
                <w:i/>
                <w:color w:val="FF0000"/>
                <w:sz w:val="22"/>
                <w:szCs w:val="22"/>
              </w:rPr>
            </w:pPr>
          </w:p>
          <w:p w:rsidR="00CD752B" w:rsidRDefault="00CD752B" w:rsidP="00983FA0">
            <w:pPr>
              <w:rPr>
                <w:i/>
                <w:color w:val="FF0000"/>
                <w:sz w:val="22"/>
                <w:szCs w:val="22"/>
              </w:rPr>
            </w:pPr>
          </w:p>
          <w:p w:rsidR="00CD752B" w:rsidRDefault="00CD752B" w:rsidP="00983FA0">
            <w:pPr>
              <w:rPr>
                <w:i/>
                <w:color w:val="FF0000"/>
                <w:sz w:val="22"/>
                <w:szCs w:val="22"/>
              </w:rPr>
            </w:pPr>
          </w:p>
          <w:p w:rsidR="00CD752B" w:rsidRDefault="00CD752B" w:rsidP="00983FA0">
            <w:pPr>
              <w:rPr>
                <w:i/>
                <w:color w:val="FF0000"/>
                <w:sz w:val="22"/>
                <w:szCs w:val="22"/>
              </w:rPr>
            </w:pPr>
          </w:p>
          <w:p w:rsidR="00CD752B" w:rsidRDefault="00CD752B" w:rsidP="00983FA0">
            <w:pPr>
              <w:rPr>
                <w:i/>
                <w:color w:val="FF0000"/>
                <w:sz w:val="22"/>
                <w:szCs w:val="22"/>
              </w:rPr>
            </w:pPr>
          </w:p>
          <w:p w:rsidR="00CD752B" w:rsidRDefault="00CD752B" w:rsidP="00983FA0">
            <w:pPr>
              <w:rPr>
                <w:i/>
                <w:color w:val="FF0000"/>
                <w:sz w:val="22"/>
                <w:szCs w:val="22"/>
              </w:rPr>
            </w:pPr>
          </w:p>
          <w:p w:rsidR="00CD752B" w:rsidRDefault="00CD752B" w:rsidP="00983FA0">
            <w:pPr>
              <w:rPr>
                <w:i/>
                <w:color w:val="FF0000"/>
                <w:sz w:val="22"/>
                <w:szCs w:val="22"/>
              </w:rPr>
            </w:pPr>
          </w:p>
          <w:p w:rsidR="00CD752B" w:rsidRDefault="00CD752B" w:rsidP="00983FA0">
            <w:pPr>
              <w:rPr>
                <w:i/>
                <w:color w:val="FF0000"/>
                <w:sz w:val="22"/>
                <w:szCs w:val="22"/>
              </w:rPr>
            </w:pPr>
          </w:p>
          <w:p w:rsidR="00CD752B" w:rsidRDefault="00CD752B" w:rsidP="00983FA0">
            <w:pPr>
              <w:rPr>
                <w:i/>
                <w:color w:val="FF0000"/>
                <w:sz w:val="22"/>
                <w:szCs w:val="22"/>
              </w:rPr>
            </w:pPr>
          </w:p>
          <w:p w:rsidR="00CD752B" w:rsidRDefault="00CD752B" w:rsidP="00983FA0">
            <w:pPr>
              <w:rPr>
                <w:i/>
                <w:color w:val="FF0000"/>
                <w:sz w:val="22"/>
                <w:szCs w:val="22"/>
              </w:rPr>
            </w:pPr>
          </w:p>
          <w:p w:rsidR="00CD752B" w:rsidRDefault="00CD752B" w:rsidP="00983FA0">
            <w:pPr>
              <w:rPr>
                <w:i/>
                <w:color w:val="FF0000"/>
                <w:sz w:val="22"/>
                <w:szCs w:val="22"/>
              </w:rPr>
            </w:pPr>
          </w:p>
          <w:p w:rsidR="00CD752B" w:rsidRDefault="00CD752B" w:rsidP="00983FA0"/>
        </w:tc>
      </w:tr>
    </w:tbl>
    <w:p w:rsidR="00CD752B" w:rsidRDefault="00CD752B" w:rsidP="00CD752B"/>
    <w:p w:rsidR="00CD752B" w:rsidRDefault="00CD752B" w:rsidP="00CD752B"/>
    <w:p w:rsidR="00CD752B" w:rsidRDefault="00CD752B" w:rsidP="00CD752B">
      <w:pPr>
        <w:pStyle w:val="Heading1"/>
      </w:pPr>
      <w:r>
        <w:t>B. Categorization – Recipe(s)</w:t>
      </w:r>
    </w:p>
    <w:p w:rsidR="00CD752B" w:rsidRDefault="00CD752B" w:rsidP="00CD752B">
      <w:pPr>
        <w:ind w:firstLine="700"/>
        <w:rPr>
          <w:b/>
        </w:rPr>
      </w:pPr>
      <w:r>
        <w:t xml:space="preserve">Categorization: </w:t>
      </w:r>
      <w:r w:rsidRPr="009A4D9E">
        <w:rPr>
          <w:rFonts w:eastAsia="Times New Roman" w:cs="Times New Roman"/>
          <w:b/>
          <w:color w:val="000000"/>
          <w:shd w:val="clear" w:color="auto" w:fill="FFFFFF"/>
        </w:rPr>
        <w:t>Template for Curing as a Single Special Process</w:t>
      </w:r>
    </w:p>
    <w:p w:rsidR="00CD752B" w:rsidRDefault="00CD752B" w:rsidP="00CD752B">
      <w:pPr>
        <w:ind w:left="720"/>
      </w:pPr>
      <w:r>
        <w:t xml:space="preserve">2013 FDA </w:t>
      </w:r>
      <w:bookmarkStart w:id="0" w:name="_GoBack"/>
      <w:bookmarkEnd w:id="0"/>
      <w:r>
        <w:t>Food Code Section 3-502.11: “</w:t>
      </w:r>
      <w:r w:rsidRPr="000C5D1D">
        <w:rPr>
          <w:i/>
        </w:rPr>
        <w:t xml:space="preserve">A </w:t>
      </w:r>
      <w:r>
        <w:rPr>
          <w:i/>
        </w:rPr>
        <w:t>FOOD ESTABLISHMENT shall obtain a VARIANCE</w:t>
      </w:r>
      <w:r w:rsidRPr="000C5D1D">
        <w:rPr>
          <w:i/>
        </w:rPr>
        <w:t xml:space="preserve"> from the </w:t>
      </w:r>
      <w:r>
        <w:rPr>
          <w:i/>
        </w:rPr>
        <w:t xml:space="preserve">REGULATORY AUTHORITY </w:t>
      </w:r>
      <w:r w:rsidRPr="000C5D1D">
        <w:rPr>
          <w:i/>
        </w:rPr>
        <w:t xml:space="preserve">(RA) as specified in </w:t>
      </w:r>
      <w:r w:rsidRPr="00F35DC5">
        <w:rPr>
          <w:color w:val="000000"/>
          <w:sz w:val="20"/>
          <w:szCs w:val="20"/>
        </w:rPr>
        <w:t>§</w:t>
      </w:r>
      <w:r w:rsidRPr="000C5D1D">
        <w:rPr>
          <w:i/>
        </w:rPr>
        <w:t xml:space="preserve">8-103.10 and </w:t>
      </w:r>
      <w:r>
        <w:rPr>
          <w:i/>
        </w:rPr>
        <w:t xml:space="preserve">under </w:t>
      </w:r>
      <w:r w:rsidRPr="00F35DC5">
        <w:rPr>
          <w:color w:val="000000"/>
          <w:sz w:val="20"/>
          <w:szCs w:val="20"/>
        </w:rPr>
        <w:t>§</w:t>
      </w:r>
      <w:r>
        <w:rPr>
          <w:color w:val="000000"/>
          <w:sz w:val="20"/>
          <w:szCs w:val="20"/>
        </w:rPr>
        <w:t>8-103.</w:t>
      </w:r>
      <w:r w:rsidRPr="000C5D1D">
        <w:rPr>
          <w:i/>
        </w:rPr>
        <w:t>11 before</w:t>
      </w:r>
      <w:r>
        <w:rPr>
          <w:i/>
        </w:rPr>
        <w:t>: (B)</w:t>
      </w:r>
      <w:r w:rsidRPr="000C5D1D">
        <w:rPr>
          <w:i/>
        </w:rPr>
        <w:t xml:space="preserve"> </w:t>
      </w:r>
      <w:r>
        <w:rPr>
          <w:i/>
        </w:rPr>
        <w:t>C</w:t>
      </w:r>
      <w:r w:rsidRPr="000C5D1D">
        <w:rPr>
          <w:i/>
        </w:rPr>
        <w:t>uring food.</w:t>
      </w:r>
      <w:r>
        <w:rPr>
          <w:i/>
        </w:rPr>
        <w:t>”</w:t>
      </w:r>
    </w:p>
    <w:p w:rsidR="00CD752B" w:rsidRDefault="00CD752B" w:rsidP="00CD752B"/>
    <w:p w:rsidR="00CD752B" w:rsidRDefault="00CD752B" w:rsidP="00CD752B">
      <w:pPr>
        <w:ind w:left="720"/>
      </w:pPr>
      <w:r>
        <w:t xml:space="preserve">This template is to be utilized for raw food that will follow US FDA model Food Code parameters for cooking, cooling and cold storage.  This template is not intended for products where additional critical control points (CCPs)/variances would be needed (for example, products with a fermentation or drying step or products where slow cooling is used). </w:t>
      </w:r>
    </w:p>
    <w:p w:rsidR="00CD752B" w:rsidRDefault="00CD752B" w:rsidP="00CD752B"/>
    <w:p w:rsidR="00CD752B" w:rsidRPr="00D45238" w:rsidRDefault="00CD752B" w:rsidP="00CD752B">
      <w:pPr>
        <w:ind w:left="720"/>
        <w:rPr>
          <w:i/>
        </w:rPr>
      </w:pPr>
      <w:r>
        <w:t xml:space="preserve">Recipe: </w:t>
      </w:r>
      <w:r>
        <w:rPr>
          <w:i/>
        </w:rPr>
        <w:t xml:space="preserve">Attach recipes of all current and future meat and poultry products containing sodium nitrite </w:t>
      </w:r>
      <w:r w:rsidRPr="00B83CA2">
        <w:rPr>
          <w:i/>
        </w:rPr>
        <w:t>to this document</w:t>
      </w:r>
      <w:r>
        <w:rPr>
          <w:i/>
        </w:rPr>
        <w:t xml:space="preserve"> (see C2 Control below) </w:t>
      </w:r>
      <w:r w:rsidRPr="00B83CA2">
        <w:rPr>
          <w:i/>
        </w:rPr>
        <w:t>[</w:t>
      </w:r>
      <w:r>
        <w:rPr>
          <w:i/>
        </w:rPr>
        <w:t xml:space="preserve">label as </w:t>
      </w:r>
      <w:r w:rsidRPr="00B83CA2">
        <w:rPr>
          <w:i/>
        </w:rPr>
        <w:t>attachment</w:t>
      </w:r>
      <w:r>
        <w:t xml:space="preserve"> </w:t>
      </w:r>
      <w:r>
        <w:rPr>
          <w:i/>
        </w:rPr>
        <w:t>1].</w:t>
      </w:r>
      <w:r w:rsidRPr="00B0631F">
        <w:t xml:space="preserve"> </w:t>
      </w:r>
      <w:r>
        <w:t>Product must contain a minimum of 120ppm ingoing nitrite. The use of nitrate is not permitted (under this Special Processes HACCP template).</w:t>
      </w:r>
      <w:r>
        <w:rPr>
          <w:i/>
        </w:rPr>
        <w:t xml:space="preserve"> </w:t>
      </w:r>
      <w:r>
        <w:t>Only curing salt mixtures, which contain sodium chloride (</w:t>
      </w:r>
      <w:proofErr w:type="spellStart"/>
      <w:r>
        <w:t>NaCl</w:t>
      </w:r>
      <w:proofErr w:type="spellEnd"/>
      <w:r>
        <w:t>) with 6.25% sodium nitrite,</w:t>
      </w:r>
      <w:r w:rsidRPr="007C2DC8">
        <w:t xml:space="preserve"> </w:t>
      </w:r>
      <w:r>
        <w:t xml:space="preserve">are permitted.  The curing salt mixture must be dyed pink so that it cannot be confused with common salt.  The curing salt mixture must be stored in a safe and secure place. Appropriate labeling must remain on the packaging. </w:t>
      </w:r>
      <w:r>
        <w:rPr>
          <w:i/>
        </w:rPr>
        <w:t>Attach copy of label or certificate of analysis for curing salt mixture [label as attachment 2].</w:t>
      </w:r>
    </w:p>
    <w:p w:rsidR="00CD752B" w:rsidRDefault="00CD752B" w:rsidP="00CD752B"/>
    <w:p w:rsidR="00CD752B" w:rsidRDefault="00CD752B" w:rsidP="00CD752B"/>
    <w:p w:rsidR="00CD752B" w:rsidRDefault="00CD752B" w:rsidP="00CD752B">
      <w:r>
        <w:t xml:space="preserve">Are there any buyer specifications (supply controls) or special equipment required/recommended? </w:t>
      </w:r>
    </w:p>
    <w:tbl>
      <w:tblPr>
        <w:tblStyle w:val="TableGrid"/>
        <w:tblW w:w="0" w:type="auto"/>
        <w:tblLook w:val="04A0" w:firstRow="1" w:lastRow="0" w:firstColumn="1" w:lastColumn="0" w:noHBand="0" w:noVBand="1"/>
      </w:tblPr>
      <w:tblGrid>
        <w:gridCol w:w="9796"/>
      </w:tblGrid>
      <w:tr w:rsidR="00CD752B" w:rsidTr="00983FA0">
        <w:trPr>
          <w:trHeight w:val="593"/>
        </w:trPr>
        <w:tc>
          <w:tcPr>
            <w:tcW w:w="9796" w:type="dxa"/>
          </w:tcPr>
          <w:p w:rsidR="00CD752B" w:rsidRPr="00171D87" w:rsidRDefault="00CD752B" w:rsidP="00983FA0">
            <w:pPr>
              <w:rPr>
                <w:sz w:val="22"/>
              </w:rPr>
            </w:pPr>
            <w:r w:rsidRPr="0026711C">
              <w:rPr>
                <w:sz w:val="22"/>
                <w:highlight w:val="cyan"/>
              </w:rPr>
              <w:lastRenderedPageBreak/>
              <w:t>___</w:t>
            </w:r>
            <w:r w:rsidRPr="00171D87">
              <w:rPr>
                <w:sz w:val="22"/>
              </w:rPr>
              <w:t xml:space="preserve"> </w:t>
            </w:r>
            <w:r>
              <w:rPr>
                <w:sz w:val="22"/>
              </w:rPr>
              <w:t xml:space="preserve">Calibrated scale for weighing curing salts </w:t>
            </w:r>
            <w:r w:rsidRPr="00171D87">
              <w:rPr>
                <w:sz w:val="22"/>
              </w:rPr>
              <w:t xml:space="preserve">(brand and model </w:t>
            </w:r>
            <w:r w:rsidRPr="0026711C">
              <w:rPr>
                <w:sz w:val="22"/>
                <w:highlight w:val="cyan"/>
              </w:rPr>
              <w:t>______________________</w:t>
            </w:r>
            <w:r w:rsidRPr="00171D87">
              <w:rPr>
                <w:sz w:val="22"/>
              </w:rPr>
              <w:t>)</w:t>
            </w:r>
          </w:p>
          <w:p w:rsidR="00CD752B" w:rsidRPr="00ED57B7" w:rsidRDefault="00CD752B" w:rsidP="00983FA0">
            <w:pPr>
              <w:rPr>
                <w:sz w:val="22"/>
              </w:rPr>
            </w:pPr>
            <w:r w:rsidRPr="0026711C">
              <w:rPr>
                <w:sz w:val="22"/>
                <w:highlight w:val="cyan"/>
              </w:rPr>
              <w:t>___</w:t>
            </w:r>
            <w:r>
              <w:rPr>
                <w:sz w:val="22"/>
              </w:rPr>
              <w:t xml:space="preserve"> 6.25% sodium nitrite </w:t>
            </w:r>
            <w:r w:rsidRPr="00171D87">
              <w:rPr>
                <w:sz w:val="22"/>
              </w:rPr>
              <w:t xml:space="preserve">(brand </w:t>
            </w:r>
            <w:r w:rsidRPr="0026711C">
              <w:rPr>
                <w:sz w:val="22"/>
                <w:highlight w:val="cyan"/>
              </w:rPr>
              <w:t>_________________</w:t>
            </w:r>
            <w:r w:rsidRPr="00171D87">
              <w:rPr>
                <w:sz w:val="22"/>
              </w:rPr>
              <w:t>)</w:t>
            </w:r>
          </w:p>
        </w:tc>
      </w:tr>
    </w:tbl>
    <w:p w:rsidR="00CD752B" w:rsidRDefault="00CD752B" w:rsidP="00CD752B"/>
    <w:p w:rsidR="00CD752B" w:rsidRDefault="00CD752B" w:rsidP="00CD752B"/>
    <w:p w:rsidR="00CD752B" w:rsidRDefault="00CD752B" w:rsidP="00CD752B">
      <w:pPr>
        <w:pStyle w:val="Heading1"/>
      </w:pPr>
      <w:r>
        <w:t>C. Flow Diagram-Chart</w:t>
      </w:r>
    </w:p>
    <w:p w:rsidR="00CD752B" w:rsidRDefault="00CD752B" w:rsidP="00CD752B">
      <w:r>
        <w:t>[Instructions] – Add each step of the process in the following table starting in box 1.  The first step should be receiving ingredients and the last step consumption or sale of the product.</w:t>
      </w:r>
    </w:p>
    <w:tbl>
      <w:tblPr>
        <w:tblStyle w:val="TableGrid"/>
        <w:tblW w:w="0" w:type="auto"/>
        <w:shd w:val="clear" w:color="auto" w:fill="01FFFF"/>
        <w:tblLook w:val="04A0" w:firstRow="1" w:lastRow="0" w:firstColumn="1" w:lastColumn="0" w:noHBand="0" w:noVBand="1"/>
      </w:tblPr>
      <w:tblGrid>
        <w:gridCol w:w="3265"/>
        <w:gridCol w:w="3265"/>
        <w:gridCol w:w="3266"/>
      </w:tblGrid>
      <w:tr w:rsidR="00CD752B" w:rsidRPr="00B83CA2" w:rsidTr="00983FA0">
        <w:trPr>
          <w:trHeight w:hRule="exact" w:val="1440"/>
        </w:trPr>
        <w:tc>
          <w:tcPr>
            <w:tcW w:w="3265" w:type="dxa"/>
            <w:shd w:val="clear" w:color="auto" w:fill="01FFFF"/>
          </w:tcPr>
          <w:p w:rsidR="00CD752B" w:rsidRPr="00B83CA2" w:rsidRDefault="00CD752B" w:rsidP="00983FA0">
            <w:pPr>
              <w:rPr>
                <w:b/>
              </w:rPr>
            </w:pPr>
            <w:r w:rsidRPr="00B83CA2">
              <w:rPr>
                <w:b/>
              </w:rPr>
              <w:t xml:space="preserve">1 </w:t>
            </w:r>
            <w:r w:rsidRPr="00B83CA2">
              <w:t>Receiving Ingredients and any other materials</w:t>
            </w:r>
          </w:p>
        </w:tc>
        <w:tc>
          <w:tcPr>
            <w:tcW w:w="3265" w:type="dxa"/>
            <w:shd w:val="clear" w:color="auto" w:fill="01FFFF"/>
          </w:tcPr>
          <w:p w:rsidR="00CD752B" w:rsidRPr="00B83CA2" w:rsidRDefault="00CD752B" w:rsidP="00983FA0">
            <w:pPr>
              <w:rPr>
                <w:b/>
              </w:rPr>
            </w:pPr>
            <w:r w:rsidRPr="00B83CA2">
              <w:rPr>
                <w:b/>
              </w:rPr>
              <w:t>2</w:t>
            </w:r>
          </w:p>
        </w:tc>
        <w:tc>
          <w:tcPr>
            <w:tcW w:w="3266" w:type="dxa"/>
            <w:shd w:val="clear" w:color="auto" w:fill="01FFFF"/>
          </w:tcPr>
          <w:p w:rsidR="00CD752B" w:rsidRPr="00B83CA2" w:rsidRDefault="00CD752B" w:rsidP="00983FA0">
            <w:pPr>
              <w:rPr>
                <w:b/>
              </w:rPr>
            </w:pPr>
            <w:r w:rsidRPr="00B83CA2">
              <w:rPr>
                <w:b/>
              </w:rPr>
              <w:t>3</w:t>
            </w:r>
          </w:p>
        </w:tc>
      </w:tr>
      <w:tr w:rsidR="00CD752B" w:rsidRPr="00B83CA2" w:rsidTr="00983FA0">
        <w:trPr>
          <w:trHeight w:hRule="exact" w:val="1440"/>
        </w:trPr>
        <w:tc>
          <w:tcPr>
            <w:tcW w:w="3265" w:type="dxa"/>
            <w:shd w:val="clear" w:color="auto" w:fill="01FFFF"/>
          </w:tcPr>
          <w:p w:rsidR="00CD752B" w:rsidRPr="00B83CA2" w:rsidRDefault="00CD752B" w:rsidP="00983FA0">
            <w:pPr>
              <w:rPr>
                <w:b/>
              </w:rPr>
            </w:pPr>
            <w:r w:rsidRPr="00B83CA2">
              <w:rPr>
                <w:b/>
              </w:rPr>
              <w:t>4</w:t>
            </w:r>
          </w:p>
        </w:tc>
        <w:tc>
          <w:tcPr>
            <w:tcW w:w="3265" w:type="dxa"/>
            <w:shd w:val="clear" w:color="auto" w:fill="01FFFF"/>
          </w:tcPr>
          <w:p w:rsidR="00CD752B" w:rsidRPr="00B83CA2" w:rsidRDefault="00CD752B" w:rsidP="00983FA0">
            <w:pPr>
              <w:rPr>
                <w:b/>
              </w:rPr>
            </w:pPr>
            <w:r w:rsidRPr="00B83CA2">
              <w:rPr>
                <w:b/>
              </w:rPr>
              <w:t>5</w:t>
            </w:r>
          </w:p>
        </w:tc>
        <w:tc>
          <w:tcPr>
            <w:tcW w:w="3266" w:type="dxa"/>
            <w:shd w:val="clear" w:color="auto" w:fill="01FFFF"/>
          </w:tcPr>
          <w:p w:rsidR="00CD752B" w:rsidRPr="00B83CA2" w:rsidRDefault="00CD752B" w:rsidP="00983FA0">
            <w:pPr>
              <w:rPr>
                <w:b/>
              </w:rPr>
            </w:pPr>
            <w:r w:rsidRPr="00B83CA2">
              <w:rPr>
                <w:b/>
              </w:rPr>
              <w:t>6</w:t>
            </w:r>
          </w:p>
        </w:tc>
      </w:tr>
      <w:tr w:rsidR="00CD752B" w:rsidRPr="00B83CA2" w:rsidTr="00983FA0">
        <w:trPr>
          <w:trHeight w:hRule="exact" w:val="1440"/>
        </w:trPr>
        <w:tc>
          <w:tcPr>
            <w:tcW w:w="3265" w:type="dxa"/>
            <w:shd w:val="clear" w:color="auto" w:fill="01FFFF"/>
          </w:tcPr>
          <w:p w:rsidR="00CD752B" w:rsidRPr="00B83CA2" w:rsidRDefault="00CD752B" w:rsidP="00983FA0">
            <w:pPr>
              <w:rPr>
                <w:b/>
              </w:rPr>
            </w:pPr>
            <w:r w:rsidRPr="00B83CA2">
              <w:rPr>
                <w:b/>
              </w:rPr>
              <w:t>7</w:t>
            </w:r>
          </w:p>
        </w:tc>
        <w:tc>
          <w:tcPr>
            <w:tcW w:w="3265" w:type="dxa"/>
            <w:shd w:val="clear" w:color="auto" w:fill="01FFFF"/>
          </w:tcPr>
          <w:p w:rsidR="00CD752B" w:rsidRPr="00B83CA2" w:rsidRDefault="00CD752B" w:rsidP="00983FA0">
            <w:pPr>
              <w:rPr>
                <w:b/>
              </w:rPr>
            </w:pPr>
            <w:r w:rsidRPr="00B83CA2">
              <w:rPr>
                <w:b/>
              </w:rPr>
              <w:t>8</w:t>
            </w:r>
          </w:p>
        </w:tc>
        <w:tc>
          <w:tcPr>
            <w:tcW w:w="3266" w:type="dxa"/>
            <w:shd w:val="clear" w:color="auto" w:fill="01FFFF"/>
          </w:tcPr>
          <w:p w:rsidR="00CD752B" w:rsidRPr="00B83CA2" w:rsidRDefault="00CD752B" w:rsidP="00983FA0">
            <w:pPr>
              <w:rPr>
                <w:b/>
              </w:rPr>
            </w:pPr>
            <w:r w:rsidRPr="00B83CA2">
              <w:rPr>
                <w:b/>
              </w:rPr>
              <w:t>9</w:t>
            </w:r>
          </w:p>
        </w:tc>
      </w:tr>
      <w:tr w:rsidR="00CD752B" w:rsidRPr="00B83CA2" w:rsidTr="00983FA0">
        <w:trPr>
          <w:trHeight w:hRule="exact" w:val="1440"/>
        </w:trPr>
        <w:tc>
          <w:tcPr>
            <w:tcW w:w="3265" w:type="dxa"/>
            <w:shd w:val="clear" w:color="auto" w:fill="01FFFF"/>
          </w:tcPr>
          <w:p w:rsidR="00CD752B" w:rsidRPr="00B83CA2" w:rsidRDefault="00CD752B" w:rsidP="00983FA0">
            <w:pPr>
              <w:rPr>
                <w:b/>
              </w:rPr>
            </w:pPr>
            <w:r w:rsidRPr="00B83CA2">
              <w:rPr>
                <w:b/>
              </w:rPr>
              <w:t>10</w:t>
            </w:r>
          </w:p>
        </w:tc>
        <w:tc>
          <w:tcPr>
            <w:tcW w:w="3265" w:type="dxa"/>
            <w:shd w:val="clear" w:color="auto" w:fill="01FFFF"/>
          </w:tcPr>
          <w:p w:rsidR="00CD752B" w:rsidRPr="00B83CA2" w:rsidRDefault="00CD752B" w:rsidP="00983FA0">
            <w:pPr>
              <w:rPr>
                <w:b/>
              </w:rPr>
            </w:pPr>
            <w:r w:rsidRPr="00B83CA2">
              <w:rPr>
                <w:b/>
              </w:rPr>
              <w:t>11</w:t>
            </w:r>
          </w:p>
        </w:tc>
        <w:tc>
          <w:tcPr>
            <w:tcW w:w="3266" w:type="dxa"/>
            <w:shd w:val="clear" w:color="auto" w:fill="01FFFF"/>
          </w:tcPr>
          <w:p w:rsidR="00CD752B" w:rsidRPr="00B83CA2" w:rsidRDefault="00CD752B" w:rsidP="00983FA0">
            <w:pPr>
              <w:rPr>
                <w:b/>
              </w:rPr>
            </w:pPr>
            <w:r w:rsidRPr="00B83CA2">
              <w:rPr>
                <w:b/>
              </w:rPr>
              <w:t>12</w:t>
            </w:r>
          </w:p>
        </w:tc>
      </w:tr>
      <w:tr w:rsidR="00CD752B" w:rsidRPr="00B83CA2" w:rsidTr="00983FA0">
        <w:trPr>
          <w:trHeight w:hRule="exact" w:val="1440"/>
        </w:trPr>
        <w:tc>
          <w:tcPr>
            <w:tcW w:w="3265" w:type="dxa"/>
            <w:shd w:val="clear" w:color="auto" w:fill="01FFFF"/>
          </w:tcPr>
          <w:p w:rsidR="00CD752B" w:rsidRPr="00B83CA2" w:rsidRDefault="00CD752B" w:rsidP="00983FA0">
            <w:pPr>
              <w:rPr>
                <w:b/>
              </w:rPr>
            </w:pPr>
            <w:r w:rsidRPr="00B83CA2">
              <w:rPr>
                <w:b/>
              </w:rPr>
              <w:t>13</w:t>
            </w:r>
          </w:p>
        </w:tc>
        <w:tc>
          <w:tcPr>
            <w:tcW w:w="3265" w:type="dxa"/>
            <w:shd w:val="clear" w:color="auto" w:fill="01FFFF"/>
          </w:tcPr>
          <w:p w:rsidR="00CD752B" w:rsidRPr="00B83CA2" w:rsidRDefault="00CD752B" w:rsidP="00983FA0">
            <w:pPr>
              <w:rPr>
                <w:b/>
              </w:rPr>
            </w:pPr>
            <w:r w:rsidRPr="00B83CA2">
              <w:rPr>
                <w:b/>
              </w:rPr>
              <w:t>14</w:t>
            </w:r>
          </w:p>
        </w:tc>
        <w:tc>
          <w:tcPr>
            <w:tcW w:w="3266" w:type="dxa"/>
            <w:shd w:val="clear" w:color="auto" w:fill="01FFFF"/>
          </w:tcPr>
          <w:p w:rsidR="00CD752B" w:rsidRPr="00B83CA2" w:rsidRDefault="00CD752B" w:rsidP="00983FA0">
            <w:pPr>
              <w:rPr>
                <w:b/>
              </w:rPr>
            </w:pPr>
            <w:r w:rsidRPr="00B83CA2">
              <w:rPr>
                <w:b/>
              </w:rPr>
              <w:t>Last-</w:t>
            </w:r>
            <w:r>
              <w:rPr>
                <w:b/>
              </w:rPr>
              <w:t xml:space="preserve"> </w:t>
            </w:r>
            <w:r w:rsidRPr="00B83CA2">
              <w:t>consumption (foodservice) or sale to consumer (retail)</w:t>
            </w:r>
          </w:p>
        </w:tc>
      </w:tr>
    </w:tbl>
    <w:p w:rsidR="00CD752B" w:rsidRDefault="00CD752B" w:rsidP="00CD752B"/>
    <w:p w:rsidR="00CD752B" w:rsidRDefault="00CD752B" w:rsidP="00CD752B">
      <w:r>
        <w:t xml:space="preserve">The step in which curing agent is added to the meat/poultry for curing is number </w:t>
      </w:r>
      <w:r w:rsidRPr="0026711C">
        <w:rPr>
          <w:highlight w:val="cyan"/>
        </w:rPr>
        <w:t>____</w:t>
      </w:r>
      <w:r>
        <w:t>.  This is the critical control step in the template.  Mark that step above with the designation “CCP”.</w:t>
      </w:r>
    </w:p>
    <w:p w:rsidR="00CD752B" w:rsidRDefault="00CD752B" w:rsidP="00CD752B"/>
    <w:p w:rsidR="00CD752B" w:rsidRDefault="00CD752B" w:rsidP="00CD752B">
      <w:pPr>
        <w:pStyle w:val="Heading1"/>
        <w:ind w:firstLine="0"/>
      </w:pPr>
      <w:r>
        <w:t xml:space="preserve">C. 1. </w:t>
      </w:r>
      <w:proofErr w:type="gramStart"/>
      <w:r>
        <w:t>Hazard.</w:t>
      </w:r>
      <w:proofErr w:type="gramEnd"/>
      <w:r>
        <w:t xml:space="preserve"> </w:t>
      </w:r>
    </w:p>
    <w:p w:rsidR="00CD752B" w:rsidRPr="00071266" w:rsidRDefault="00CD752B" w:rsidP="00CD752B">
      <w:pPr>
        <w:ind w:left="1240"/>
        <w:rPr>
          <w:rFonts w:eastAsia="Times New Roman"/>
        </w:rPr>
      </w:pPr>
      <w:r w:rsidRPr="002A0C63">
        <w:t xml:space="preserve">The main hazard in </w:t>
      </w:r>
      <w:r>
        <w:t>c</w:t>
      </w:r>
      <w:r w:rsidRPr="002A0C63">
        <w:t xml:space="preserve">uring is the concentration of the curing </w:t>
      </w:r>
      <w:r>
        <w:t xml:space="preserve">agent; too much may result in </w:t>
      </w:r>
      <w:r w:rsidRPr="002A0C63">
        <w:t xml:space="preserve">chemical contamination </w:t>
      </w:r>
      <w:r>
        <w:t xml:space="preserve">of the food and/or nitrite poisoning of the consumer.  </w:t>
      </w:r>
      <w:r w:rsidRPr="00071266">
        <w:rPr>
          <w:rFonts w:eastAsia="Times New Roman"/>
          <w:color w:val="000000"/>
          <w:shd w:val="clear" w:color="auto" w:fill="FFFFFF"/>
        </w:rPr>
        <w:t xml:space="preserve">Signs and symptoms of nitrite poisoning include </w:t>
      </w:r>
      <w:r>
        <w:rPr>
          <w:rFonts w:eastAsia="Times New Roman"/>
          <w:color w:val="000000"/>
          <w:shd w:val="clear" w:color="auto" w:fill="FFFFFF"/>
        </w:rPr>
        <w:t>prompt fall in blood pressure, h</w:t>
      </w:r>
      <w:r w:rsidRPr="00071266">
        <w:rPr>
          <w:rFonts w:eastAsia="Times New Roman"/>
          <w:color w:val="000000"/>
          <w:shd w:val="clear" w:color="auto" w:fill="FFFFFF"/>
        </w:rPr>
        <w:t xml:space="preserve">eadache </w:t>
      </w:r>
      <w:r>
        <w:rPr>
          <w:rFonts w:eastAsia="Times New Roman"/>
          <w:color w:val="000000"/>
          <w:shd w:val="clear" w:color="auto" w:fill="FFFFFF"/>
        </w:rPr>
        <w:t>[</w:t>
      </w:r>
      <w:r w:rsidRPr="00071266">
        <w:rPr>
          <w:rFonts w:eastAsia="Times New Roman"/>
          <w:color w:val="000000"/>
          <w:shd w:val="clear" w:color="auto" w:fill="FFFFFF"/>
        </w:rPr>
        <w:t>which is persistent and throbbing</w:t>
      </w:r>
      <w:r>
        <w:rPr>
          <w:rFonts w:eastAsia="Times New Roman"/>
          <w:color w:val="000000"/>
          <w:shd w:val="clear" w:color="auto" w:fill="FFFFFF"/>
        </w:rPr>
        <w:t>]</w:t>
      </w:r>
      <w:r>
        <w:rPr>
          <w:rFonts w:eastAsia="Times New Roman"/>
        </w:rPr>
        <w:t xml:space="preserve">, </w:t>
      </w:r>
      <w:r w:rsidRPr="00071266">
        <w:rPr>
          <w:rFonts w:eastAsia="Times New Roman"/>
          <w:color w:val="000000"/>
          <w:shd w:val="clear" w:color="auto" w:fill="FFFFFF"/>
        </w:rPr>
        <w:t xml:space="preserve">intense cyanosis, nausea, vertigo, vomiting, </w:t>
      </w:r>
      <w:proofErr w:type="gramStart"/>
      <w:r w:rsidRPr="00071266">
        <w:rPr>
          <w:rFonts w:eastAsia="Times New Roman"/>
          <w:color w:val="000000"/>
          <w:shd w:val="clear" w:color="auto" w:fill="FFFFFF"/>
        </w:rPr>
        <w:t>collapse</w:t>
      </w:r>
      <w:proofErr w:type="gramEnd"/>
      <w:r w:rsidRPr="00071266">
        <w:rPr>
          <w:rFonts w:eastAsia="Times New Roman"/>
          <w:color w:val="000000"/>
          <w:shd w:val="clear" w:color="auto" w:fill="FFFFFF"/>
        </w:rPr>
        <w:t>, spasms of abdominal pain, tachycardia, tachypnea, coma, convulsions and death.</w:t>
      </w:r>
      <w:r>
        <w:rPr>
          <w:rFonts w:eastAsia="Times New Roman"/>
          <w:color w:val="000000"/>
          <w:shd w:val="clear" w:color="auto" w:fill="FFFFFF"/>
        </w:rPr>
        <w:t xml:space="preserve"> </w:t>
      </w:r>
      <w:r>
        <w:t>T</w:t>
      </w:r>
      <w:r w:rsidRPr="002A0C63">
        <w:t xml:space="preserve">oo little could result in the potential growth of </w:t>
      </w:r>
      <w:r w:rsidRPr="002A0C63">
        <w:rPr>
          <w:i/>
        </w:rPr>
        <w:t>Clostridium botulinum</w:t>
      </w:r>
      <w:r>
        <w:rPr>
          <w:i/>
        </w:rPr>
        <w:t xml:space="preserve"> (C. botulinum)</w:t>
      </w:r>
      <w:r w:rsidRPr="002A0C63">
        <w:t xml:space="preserve">.  For </w:t>
      </w:r>
      <w:r w:rsidRPr="002A0C63">
        <w:rPr>
          <w:bCs/>
          <w:i/>
          <w:iCs/>
        </w:rPr>
        <w:t>Clostridium botulinum</w:t>
      </w:r>
      <w:r w:rsidRPr="002A0C63">
        <w:t>, if enough vegetative cells are produced</w:t>
      </w:r>
      <w:r>
        <w:t xml:space="preserve"> during temperature abuse</w:t>
      </w:r>
      <w:r w:rsidRPr="002A0C63">
        <w:t xml:space="preserve">, </w:t>
      </w:r>
      <w:proofErr w:type="spellStart"/>
      <w:r w:rsidRPr="002A0C63">
        <w:t>toxigenesis</w:t>
      </w:r>
      <w:proofErr w:type="spellEnd"/>
      <w:r w:rsidRPr="002A0C63">
        <w:t xml:space="preserve"> can occur in the </w:t>
      </w:r>
      <w:r>
        <w:t>product</w:t>
      </w:r>
      <w:r w:rsidRPr="002A0C63">
        <w:t xml:space="preserve">. The toxin is not destroyed at the minimum required cooking temperatures. </w:t>
      </w:r>
    </w:p>
    <w:p w:rsidR="00CD752B" w:rsidRPr="005B6C13" w:rsidRDefault="00CD752B" w:rsidP="00CD752B">
      <w:pPr>
        <w:pStyle w:val="NormalWeb"/>
        <w:ind w:left="1240"/>
        <w:rPr>
          <w:rFonts w:ascii="Arial" w:hAnsi="Arial" w:cs="Arial"/>
          <w:sz w:val="22"/>
          <w:szCs w:val="22"/>
        </w:rPr>
      </w:pPr>
      <w:r w:rsidRPr="005B6C13">
        <w:rPr>
          <w:rFonts w:ascii="Arial" w:hAnsi="Arial" w:cs="Arial"/>
          <w:i/>
          <w:sz w:val="22"/>
          <w:szCs w:val="22"/>
        </w:rPr>
        <w:lastRenderedPageBreak/>
        <w:t xml:space="preserve">C. botulinum </w:t>
      </w:r>
      <w:r w:rsidRPr="005B6C13">
        <w:rPr>
          <w:rFonts w:ascii="Arial" w:hAnsi="Arial" w:cs="Arial"/>
          <w:sz w:val="22"/>
          <w:szCs w:val="22"/>
        </w:rPr>
        <w:t xml:space="preserve">can cause </w:t>
      </w:r>
      <w:r>
        <w:rPr>
          <w:rFonts w:ascii="Arial" w:hAnsi="Arial" w:cs="Arial"/>
          <w:color w:val="211E1E"/>
          <w:sz w:val="22"/>
          <w:szCs w:val="22"/>
        </w:rPr>
        <w:t xml:space="preserve">symptoms such as </w:t>
      </w:r>
      <w:r w:rsidRPr="005B6C13">
        <w:rPr>
          <w:rFonts w:ascii="Arial" w:hAnsi="Arial" w:cs="Arial"/>
          <w:color w:val="211E1E"/>
          <w:sz w:val="22"/>
          <w:szCs w:val="22"/>
        </w:rPr>
        <w:t>weakness, vertigo, double vision, dif</w:t>
      </w:r>
      <w:r>
        <w:rPr>
          <w:rFonts w:ascii="Arial" w:hAnsi="Arial" w:cs="Arial"/>
          <w:color w:val="211E1E"/>
          <w:sz w:val="22"/>
          <w:szCs w:val="22"/>
        </w:rPr>
        <w:t>fi</w:t>
      </w:r>
      <w:r w:rsidRPr="005B6C13">
        <w:rPr>
          <w:rFonts w:ascii="Arial" w:hAnsi="Arial" w:cs="Arial"/>
          <w:color w:val="211E1E"/>
          <w:sz w:val="22"/>
          <w:szCs w:val="22"/>
        </w:rPr>
        <w:t xml:space="preserve">culty in speaking, swallowing and breathing, abdominal swelling, constipation, paralysis, and death. Symptoms start from 18 hours to 36 hours after consumption. </w:t>
      </w:r>
      <w:r w:rsidRPr="005B6C13">
        <w:rPr>
          <w:rFonts w:ascii="Arial" w:hAnsi="Arial" w:cs="Arial"/>
          <w:i/>
          <w:sz w:val="22"/>
          <w:szCs w:val="22"/>
        </w:rPr>
        <w:t xml:space="preserve">C. botulinum </w:t>
      </w:r>
      <w:r w:rsidRPr="005B6C13">
        <w:rPr>
          <w:rFonts w:ascii="Arial" w:hAnsi="Arial" w:cs="Arial"/>
          <w:sz w:val="22"/>
          <w:szCs w:val="22"/>
        </w:rPr>
        <w:t xml:space="preserve">is considered </w:t>
      </w:r>
      <w:r>
        <w:rPr>
          <w:rFonts w:ascii="Arial" w:hAnsi="Arial" w:cs="Arial"/>
          <w:sz w:val="22"/>
          <w:szCs w:val="22"/>
        </w:rPr>
        <w:t xml:space="preserve">a </w:t>
      </w:r>
      <w:r w:rsidRPr="005B6C13">
        <w:rPr>
          <w:rFonts w:ascii="Arial" w:hAnsi="Arial" w:cs="Arial"/>
          <w:sz w:val="22"/>
          <w:szCs w:val="22"/>
        </w:rPr>
        <w:t>hazard for various reasons</w:t>
      </w:r>
      <w:r>
        <w:rPr>
          <w:rFonts w:ascii="Arial" w:hAnsi="Arial" w:cs="Arial"/>
          <w:i/>
          <w:sz w:val="22"/>
          <w:szCs w:val="22"/>
        </w:rPr>
        <w:t xml:space="preserve">. </w:t>
      </w:r>
      <w:r w:rsidRPr="00DB40D0">
        <w:rPr>
          <w:rFonts w:ascii="Arial" w:hAnsi="Arial" w:cs="Arial"/>
          <w:sz w:val="22"/>
          <w:szCs w:val="22"/>
        </w:rPr>
        <w:t xml:space="preserve"> It is a spore forming</w:t>
      </w:r>
      <w:r>
        <w:rPr>
          <w:rFonts w:ascii="Arial" w:hAnsi="Arial" w:cs="Arial"/>
          <w:sz w:val="22"/>
          <w:szCs w:val="22"/>
        </w:rPr>
        <w:t xml:space="preserve"> foodborne illness bacteria and those s</w:t>
      </w:r>
      <w:r w:rsidRPr="00DB40D0">
        <w:rPr>
          <w:rFonts w:ascii="Arial" w:hAnsi="Arial" w:cs="Arial"/>
          <w:sz w:val="22"/>
          <w:szCs w:val="22"/>
        </w:rPr>
        <w:t>pores ar</w:t>
      </w:r>
      <w:r>
        <w:rPr>
          <w:rFonts w:ascii="Arial" w:hAnsi="Arial" w:cs="Arial"/>
          <w:sz w:val="22"/>
          <w:szCs w:val="22"/>
        </w:rPr>
        <w:t>e commonly found</w:t>
      </w:r>
      <w:r w:rsidRPr="00DB40D0">
        <w:rPr>
          <w:rFonts w:ascii="Arial" w:hAnsi="Arial" w:cs="Arial"/>
          <w:sz w:val="22"/>
          <w:szCs w:val="22"/>
        </w:rPr>
        <w:t xml:space="preserve"> in the viscera of fish</w:t>
      </w:r>
      <w:r>
        <w:rPr>
          <w:rFonts w:ascii="Arial" w:hAnsi="Arial" w:cs="Arial"/>
          <w:sz w:val="22"/>
          <w:szCs w:val="22"/>
        </w:rPr>
        <w:t>, on raw meat and poultry products, as well as spices and herbs,</w:t>
      </w:r>
      <w:r w:rsidRPr="00DB40D0">
        <w:rPr>
          <w:rFonts w:ascii="Arial" w:hAnsi="Arial" w:cs="Arial"/>
          <w:sz w:val="22"/>
          <w:szCs w:val="22"/>
        </w:rPr>
        <w:t xml:space="preserve"> and in soil</w:t>
      </w:r>
      <w:r>
        <w:rPr>
          <w:rFonts w:ascii="Arial" w:hAnsi="Arial" w:cs="Arial"/>
          <w:sz w:val="22"/>
          <w:szCs w:val="22"/>
        </w:rPr>
        <w:t xml:space="preserve"> and water. Additionally, those s</w:t>
      </w:r>
      <w:r w:rsidRPr="00876A35">
        <w:rPr>
          <w:rFonts w:ascii="Arial" w:hAnsi="Arial" w:cs="Arial"/>
          <w:sz w:val="22"/>
          <w:szCs w:val="22"/>
        </w:rPr>
        <w:t xml:space="preserve">pores </w:t>
      </w:r>
      <w:r>
        <w:rPr>
          <w:rFonts w:ascii="Arial" w:hAnsi="Arial" w:cs="Arial"/>
          <w:sz w:val="22"/>
          <w:szCs w:val="22"/>
        </w:rPr>
        <w:t xml:space="preserve">can </w:t>
      </w:r>
      <w:r w:rsidRPr="00876A35">
        <w:rPr>
          <w:rFonts w:ascii="Arial" w:hAnsi="Arial" w:cs="Arial"/>
          <w:sz w:val="22"/>
          <w:szCs w:val="22"/>
        </w:rPr>
        <w:t>survive the cooking step</w:t>
      </w:r>
      <w:r>
        <w:rPr>
          <w:rFonts w:ascii="Arial" w:hAnsi="Arial" w:cs="Arial"/>
          <w:sz w:val="22"/>
          <w:szCs w:val="22"/>
        </w:rPr>
        <w:t xml:space="preserve"> therefore when</w:t>
      </w:r>
      <w:r w:rsidRPr="00876A35">
        <w:rPr>
          <w:rFonts w:ascii="Arial" w:hAnsi="Arial" w:cs="Arial"/>
          <w:sz w:val="22"/>
          <w:szCs w:val="22"/>
        </w:rPr>
        <w:t xml:space="preserve"> cooling, the spores can </w:t>
      </w:r>
      <w:r>
        <w:rPr>
          <w:rFonts w:ascii="Arial" w:hAnsi="Arial" w:cs="Arial"/>
          <w:sz w:val="22"/>
          <w:szCs w:val="22"/>
        </w:rPr>
        <w:t xml:space="preserve">germinate and grow into </w:t>
      </w:r>
      <w:r w:rsidRPr="00876A35">
        <w:rPr>
          <w:rFonts w:ascii="Arial" w:hAnsi="Arial" w:cs="Arial"/>
          <w:sz w:val="22"/>
          <w:szCs w:val="22"/>
        </w:rPr>
        <w:t>vegetative</w:t>
      </w:r>
      <w:r>
        <w:rPr>
          <w:rFonts w:ascii="Arial" w:hAnsi="Arial" w:cs="Arial"/>
          <w:sz w:val="22"/>
          <w:szCs w:val="22"/>
        </w:rPr>
        <w:t xml:space="preserve"> bacteria producing toxin</w:t>
      </w:r>
      <w:r w:rsidRPr="00876A35">
        <w:rPr>
          <w:rFonts w:ascii="Arial" w:hAnsi="Arial" w:cs="Arial"/>
          <w:sz w:val="22"/>
          <w:szCs w:val="22"/>
        </w:rPr>
        <w:t xml:space="preserve"> that </w:t>
      </w:r>
      <w:r>
        <w:rPr>
          <w:rFonts w:ascii="Arial" w:hAnsi="Arial" w:cs="Arial"/>
          <w:sz w:val="22"/>
          <w:szCs w:val="22"/>
        </w:rPr>
        <w:t>can cause ill</w:t>
      </w:r>
      <w:r w:rsidRPr="00876A35">
        <w:rPr>
          <w:rFonts w:ascii="Arial" w:hAnsi="Arial" w:cs="Arial"/>
          <w:sz w:val="22"/>
          <w:szCs w:val="22"/>
        </w:rPr>
        <w:t xml:space="preserve">nesses.  </w:t>
      </w:r>
      <w:r w:rsidRPr="00E849E4">
        <w:rPr>
          <w:rFonts w:ascii="Arial" w:hAnsi="Arial" w:cs="Arial"/>
          <w:sz w:val="22"/>
          <w:szCs w:val="22"/>
        </w:rPr>
        <w:t xml:space="preserve">Outbreaks of </w:t>
      </w:r>
      <w:r w:rsidRPr="00E849E4">
        <w:rPr>
          <w:rFonts w:ascii="Arial" w:hAnsi="Arial" w:cs="Arial"/>
          <w:i/>
          <w:sz w:val="22"/>
          <w:szCs w:val="22"/>
        </w:rPr>
        <w:t xml:space="preserve">C. botulinum </w:t>
      </w:r>
      <w:r w:rsidRPr="00E849E4">
        <w:rPr>
          <w:rFonts w:ascii="Arial" w:hAnsi="Arial" w:cs="Arial"/>
          <w:sz w:val="22"/>
          <w:szCs w:val="22"/>
        </w:rPr>
        <w:t>foodborne illness have occurred in sausage, fermented meat, and smoked fish.</w:t>
      </w:r>
      <w:r>
        <w:rPr>
          <w:rFonts w:ascii="Arial" w:hAnsi="Arial" w:cs="Arial"/>
          <w:sz w:val="22"/>
          <w:szCs w:val="22"/>
        </w:rPr>
        <w:t xml:space="preserve"> The CDC confirms multiple cases of foodborne illness caused by </w:t>
      </w:r>
      <w:r w:rsidRPr="00C34B5A">
        <w:rPr>
          <w:rFonts w:ascii="Arial" w:hAnsi="Arial" w:cs="Arial"/>
          <w:i/>
          <w:sz w:val="22"/>
          <w:szCs w:val="22"/>
        </w:rPr>
        <w:t>C. botulinum</w:t>
      </w:r>
      <w:r>
        <w:rPr>
          <w:rFonts w:ascii="Arial" w:hAnsi="Arial" w:cs="Arial"/>
          <w:sz w:val="22"/>
          <w:szCs w:val="22"/>
        </w:rPr>
        <w:t xml:space="preserve"> each year.</w:t>
      </w:r>
    </w:p>
    <w:p w:rsidR="00CD752B" w:rsidRDefault="00CD752B" w:rsidP="00CD752B"/>
    <w:p w:rsidR="00CD752B" w:rsidRDefault="00CD752B" w:rsidP="00CD752B">
      <w:pPr>
        <w:pStyle w:val="Heading1"/>
        <w:ind w:firstLine="0"/>
      </w:pPr>
      <w:r>
        <w:t xml:space="preserve">C. 2. </w:t>
      </w:r>
      <w:proofErr w:type="gramStart"/>
      <w:r>
        <w:t>Control.</w:t>
      </w:r>
      <w:proofErr w:type="gramEnd"/>
      <w:r>
        <w:t xml:space="preserve"> </w:t>
      </w:r>
    </w:p>
    <w:p w:rsidR="00CD752B" w:rsidRDefault="00CD752B" w:rsidP="00CD752B"/>
    <w:p w:rsidR="00CD752B" w:rsidRDefault="00CD752B" w:rsidP="00CD752B">
      <w:pPr>
        <w:ind w:left="1240"/>
      </w:pPr>
      <w:r>
        <w:t xml:space="preserve">The main control that prevents the growth of </w:t>
      </w:r>
      <w:r w:rsidRPr="008A6120">
        <w:rPr>
          <w:i/>
        </w:rPr>
        <w:t>C. botulinum</w:t>
      </w:r>
      <w:r>
        <w:t xml:space="preserve"> in this type of process is nitrite concentration.  NOTE:  Proper cooking, cooling, and cold storage according to the FDA Model Food Code must also be followed (see above section B).  The control for nitrite poisoning is regulating the concentration of nitrite added to the food.  Proper concentrations of sodium nitrite and adequate holding temperatures prohibit the outgrowth of </w:t>
      </w:r>
      <w:r>
        <w:rPr>
          <w:i/>
        </w:rPr>
        <w:t xml:space="preserve">C. botulinum </w:t>
      </w:r>
      <w:r w:rsidRPr="00903309">
        <w:t>vegetative cells and spores</w:t>
      </w:r>
      <w:r>
        <w:rPr>
          <w:i/>
        </w:rPr>
        <w:t xml:space="preserve">. </w:t>
      </w:r>
      <w:r>
        <w:t xml:space="preserve">The addition of curing salts is an effective control as long as the concentration is at proper levels.  It is essential that a calibrated scale be used to measure the curing salt and the curing salt is evenly distributed. Accurate measurement of the curing salt using a properly calibrated scale and uniform distribution of the nitrite throughout the meat/poultry ensures this control measure produces a safe product. </w:t>
      </w:r>
    </w:p>
    <w:p w:rsidR="00CD752B" w:rsidRDefault="00CD752B" w:rsidP="00CD752B"/>
    <w:p w:rsidR="00CD752B" w:rsidRPr="000867B6" w:rsidRDefault="00CD752B" w:rsidP="00CD752B">
      <w:pPr>
        <w:ind w:left="520" w:firstLine="720"/>
      </w:pPr>
      <w:r>
        <w:t>The following is permitted for this process:</w:t>
      </w:r>
    </w:p>
    <w:p w:rsidR="00CD752B" w:rsidRDefault="00CD752B" w:rsidP="00CD752B"/>
    <w:p w:rsidR="00CD752B" w:rsidRDefault="00CD752B" w:rsidP="00CD752B">
      <w:pPr>
        <w:ind w:left="1240"/>
      </w:pPr>
      <w:r>
        <w:t>T</w:t>
      </w:r>
      <w:r w:rsidRPr="00BA0C04">
        <w:t>he</w:t>
      </w:r>
      <w:r>
        <w:t xml:space="preserve"> operator must use an ingoing minimum of 120ppm sodium nitrite in meat or poultry recipes, or the operator will use the amounts permitted by the USDA per 9 Code of Federal Regulations (CFR) 424 (see chart below).  Each recipe shall indicate the exact pre-determined quantity of pink curing salt that targets the minimum ingoing sodium nitrite of 120ppm for the meat or poultry, or each recipe shall indicate the exact pre-determined quantity of pink curing salt that targets the appropriate product category as detailed in 9 CFR 424 (see chart below). The permitted amounts in the chart below cannot be exceeded and are considered the maximum amount allowed for sodium nitrite in the recipes. </w:t>
      </w:r>
    </w:p>
    <w:p w:rsidR="00CD752B" w:rsidRPr="00FC62B7" w:rsidRDefault="00CD752B" w:rsidP="00CD752B">
      <w:pPr>
        <w:ind w:left="1240"/>
        <w:rPr>
          <w:rFonts w:eastAsia="Times New Roman"/>
          <w:sz w:val="20"/>
          <w:szCs w:val="20"/>
        </w:rPr>
      </w:pPr>
      <w:r>
        <w:t xml:space="preserve">To </w:t>
      </w:r>
      <w:r>
        <w:rPr>
          <w:rFonts w:eastAsia="Times New Roman"/>
          <w:bCs/>
        </w:rPr>
        <w:t>calculate the amount of ingoing sodium nitrite</w:t>
      </w:r>
      <w:r>
        <w:t xml:space="preserve"> for each recipe, the facility must use </w:t>
      </w:r>
      <w:r>
        <w:rPr>
          <w:rFonts w:eastAsia="Times New Roman"/>
          <w:bCs/>
        </w:rPr>
        <w:t xml:space="preserve">the proper formulation calculations, such as the calculations found in the USDA FSIS processing inspectors’ calculations handbook. </w:t>
      </w:r>
      <w:r w:rsidRPr="00FC62B7">
        <w:rPr>
          <w:rFonts w:eastAsia="Times New Roman"/>
          <w:bCs/>
        </w:rPr>
        <w:t xml:space="preserve">The </w:t>
      </w:r>
      <w:r>
        <w:rPr>
          <w:rFonts w:eastAsia="Times New Roman"/>
          <w:bCs/>
        </w:rPr>
        <w:t xml:space="preserve">health authority will use the submitted </w:t>
      </w:r>
      <w:r w:rsidRPr="00FC62B7">
        <w:rPr>
          <w:rFonts w:eastAsia="Times New Roman"/>
          <w:bCs/>
        </w:rPr>
        <w:t xml:space="preserve">recipes to calculate the ingoing </w:t>
      </w:r>
      <w:r>
        <w:rPr>
          <w:rFonts w:eastAsia="Times New Roman"/>
          <w:bCs/>
        </w:rPr>
        <w:t xml:space="preserve">amount of nitrite in </w:t>
      </w:r>
      <w:r w:rsidRPr="00FC62B7">
        <w:rPr>
          <w:rFonts w:eastAsia="Times New Roman"/>
          <w:bCs/>
        </w:rPr>
        <w:t>the food</w:t>
      </w:r>
      <w:r>
        <w:rPr>
          <w:rFonts w:eastAsia="Times New Roman"/>
          <w:bCs/>
        </w:rPr>
        <w:t xml:space="preserve"> to ensure a minimum ingoing concentration of 120ppm sodium nitrite or that the amount of sodium nitrite does not exceed the permitted amount of sodium nitrite per 9 CFR 424</w:t>
      </w:r>
      <w:r w:rsidRPr="00FC62B7">
        <w:rPr>
          <w:rFonts w:eastAsia="Times New Roman"/>
          <w:bCs/>
        </w:rPr>
        <w:t>.</w:t>
      </w:r>
      <w:r>
        <w:rPr>
          <w:rFonts w:eastAsia="Times New Roman"/>
          <w:bCs/>
        </w:rPr>
        <w:t xml:space="preserve">  </w:t>
      </w:r>
    </w:p>
    <w:p w:rsidR="00CD752B" w:rsidRDefault="00CD752B" w:rsidP="00CD752B">
      <w:pPr>
        <w:rPr>
          <w:i/>
        </w:rPr>
      </w:pPr>
    </w:p>
    <w:p w:rsidR="00CD752B" w:rsidRPr="000C5D1D" w:rsidRDefault="00CD752B" w:rsidP="00CD752B">
      <w:pPr>
        <w:ind w:left="520" w:firstLine="720"/>
        <w:rPr>
          <w:i/>
        </w:rPr>
      </w:pPr>
      <w:r w:rsidRPr="000673E5">
        <w:rPr>
          <w:i/>
        </w:rPr>
        <w:t xml:space="preserve">Choosing this option does not require </w:t>
      </w:r>
      <w:r>
        <w:rPr>
          <w:i/>
        </w:rPr>
        <w:t xml:space="preserve">lab </w:t>
      </w:r>
      <w:r w:rsidRPr="000673E5">
        <w:rPr>
          <w:i/>
        </w:rPr>
        <w:t>nitrite verification</w:t>
      </w:r>
      <w:r>
        <w:t>.</w:t>
      </w:r>
    </w:p>
    <w:p w:rsidR="00CD752B" w:rsidRDefault="00CD752B" w:rsidP="00CD752B">
      <w:pPr>
        <w:rPr>
          <w:i/>
        </w:rPr>
      </w:pPr>
    </w:p>
    <w:p w:rsidR="00CD752B" w:rsidRDefault="00CD752B" w:rsidP="00CD752B">
      <w:pPr>
        <w:rPr>
          <w:i/>
        </w:rPr>
      </w:pPr>
    </w:p>
    <w:tbl>
      <w:tblPr>
        <w:tblStyle w:val="TableGrid"/>
        <w:tblW w:w="0" w:type="auto"/>
        <w:tblInd w:w="656" w:type="dxa"/>
        <w:tblLook w:val="04A0" w:firstRow="1" w:lastRow="0" w:firstColumn="1" w:lastColumn="0" w:noHBand="0" w:noVBand="1"/>
      </w:tblPr>
      <w:tblGrid>
        <w:gridCol w:w="1301"/>
        <w:gridCol w:w="1578"/>
        <w:gridCol w:w="1591"/>
        <w:gridCol w:w="1371"/>
        <w:gridCol w:w="1578"/>
        <w:gridCol w:w="1641"/>
      </w:tblGrid>
      <w:tr w:rsidR="00CD752B" w:rsidRPr="001940D1" w:rsidTr="00983FA0">
        <w:trPr>
          <w:trHeight w:val="549"/>
        </w:trPr>
        <w:tc>
          <w:tcPr>
            <w:tcW w:w="9060" w:type="dxa"/>
            <w:gridSpan w:val="6"/>
          </w:tcPr>
          <w:p w:rsidR="00CD752B" w:rsidRPr="001940D1" w:rsidRDefault="00CD752B" w:rsidP="00983FA0">
            <w:pPr>
              <w:spacing w:before="100" w:beforeAutospacing="1" w:after="100" w:afterAutospacing="1"/>
              <w:jc w:val="center"/>
              <w:rPr>
                <w:b/>
                <w:sz w:val="20"/>
              </w:rPr>
            </w:pPr>
            <w:r w:rsidRPr="001940D1">
              <w:rPr>
                <w:b/>
                <w:sz w:val="20"/>
              </w:rPr>
              <w:t>USDA Guidance for usage of cure mix No. 1 in meat or poultry</w:t>
            </w:r>
            <w:r w:rsidRPr="001940D1">
              <w:rPr>
                <w:b/>
                <w:sz w:val="20"/>
              </w:rPr>
              <w:br/>
            </w:r>
            <w:r w:rsidRPr="001940D1">
              <w:rPr>
                <w:sz w:val="20"/>
              </w:rPr>
              <w:t>Cure Mix No. 1.</w:t>
            </w:r>
            <w:r>
              <w:rPr>
                <w:sz w:val="20"/>
              </w:rPr>
              <w:t xml:space="preserve"> -</w:t>
            </w:r>
            <w:r w:rsidRPr="001940D1">
              <w:rPr>
                <w:sz w:val="20"/>
              </w:rPr>
              <w:t xml:space="preserve"> 6.25% nitrite in </w:t>
            </w:r>
            <w:proofErr w:type="spellStart"/>
            <w:r w:rsidRPr="001940D1">
              <w:rPr>
                <w:sz w:val="20"/>
              </w:rPr>
              <w:t>NaCl</w:t>
            </w:r>
            <w:proofErr w:type="spellEnd"/>
          </w:p>
        </w:tc>
      </w:tr>
      <w:tr w:rsidR="00CD752B" w:rsidRPr="001940D1" w:rsidTr="00983FA0">
        <w:trPr>
          <w:trHeight w:val="687"/>
        </w:trPr>
        <w:tc>
          <w:tcPr>
            <w:tcW w:w="1301" w:type="dxa"/>
          </w:tcPr>
          <w:p w:rsidR="00CD752B" w:rsidRPr="001940D1" w:rsidRDefault="00CD752B" w:rsidP="00983FA0">
            <w:pPr>
              <w:spacing w:before="100" w:beforeAutospacing="1" w:after="100" w:afterAutospacing="1"/>
              <w:rPr>
                <w:sz w:val="20"/>
              </w:rPr>
            </w:pPr>
          </w:p>
        </w:tc>
        <w:tc>
          <w:tcPr>
            <w:tcW w:w="1578" w:type="dxa"/>
            <w:vAlign w:val="center"/>
          </w:tcPr>
          <w:p w:rsidR="00CD752B" w:rsidRPr="001940D1" w:rsidRDefault="00CD752B" w:rsidP="00983FA0">
            <w:pPr>
              <w:spacing w:before="100" w:beforeAutospacing="1" w:after="100" w:afterAutospacing="1"/>
              <w:jc w:val="center"/>
              <w:rPr>
                <w:sz w:val="20"/>
              </w:rPr>
            </w:pPr>
            <w:r w:rsidRPr="001940D1">
              <w:rPr>
                <w:sz w:val="20"/>
              </w:rPr>
              <w:t xml:space="preserve">Immersion </w:t>
            </w:r>
            <w:r w:rsidRPr="001940D1">
              <w:rPr>
                <w:sz w:val="20"/>
              </w:rPr>
              <w:br/>
              <w:t>(+12 gal water)</w:t>
            </w:r>
          </w:p>
        </w:tc>
        <w:tc>
          <w:tcPr>
            <w:tcW w:w="1591" w:type="dxa"/>
            <w:vAlign w:val="center"/>
          </w:tcPr>
          <w:p w:rsidR="00CD752B" w:rsidRPr="001940D1" w:rsidRDefault="00CD752B" w:rsidP="00983FA0">
            <w:pPr>
              <w:spacing w:before="100" w:beforeAutospacing="1" w:after="100" w:afterAutospacing="1"/>
              <w:jc w:val="center"/>
              <w:rPr>
                <w:sz w:val="20"/>
              </w:rPr>
            </w:pPr>
            <w:r w:rsidRPr="001940D1">
              <w:rPr>
                <w:sz w:val="20"/>
              </w:rPr>
              <w:t>Comminuted</w:t>
            </w:r>
          </w:p>
        </w:tc>
        <w:tc>
          <w:tcPr>
            <w:tcW w:w="1371" w:type="dxa"/>
            <w:vAlign w:val="center"/>
          </w:tcPr>
          <w:p w:rsidR="00CD752B" w:rsidRPr="001940D1" w:rsidRDefault="00CD752B" w:rsidP="00983FA0">
            <w:pPr>
              <w:spacing w:before="100" w:beforeAutospacing="1" w:after="100" w:afterAutospacing="1"/>
              <w:jc w:val="center"/>
              <w:rPr>
                <w:sz w:val="20"/>
              </w:rPr>
            </w:pPr>
            <w:r w:rsidRPr="001940D1">
              <w:rPr>
                <w:sz w:val="20"/>
              </w:rPr>
              <w:t>Dry Rub</w:t>
            </w:r>
          </w:p>
        </w:tc>
        <w:tc>
          <w:tcPr>
            <w:tcW w:w="1578" w:type="dxa"/>
            <w:vAlign w:val="center"/>
          </w:tcPr>
          <w:p w:rsidR="00CD752B" w:rsidRPr="001940D1" w:rsidRDefault="00CD752B" w:rsidP="00983FA0">
            <w:pPr>
              <w:spacing w:before="100" w:beforeAutospacing="1" w:after="100" w:afterAutospacing="1"/>
              <w:jc w:val="center"/>
              <w:rPr>
                <w:sz w:val="20"/>
              </w:rPr>
            </w:pPr>
            <w:r w:rsidRPr="001940D1">
              <w:rPr>
                <w:sz w:val="20"/>
              </w:rPr>
              <w:t xml:space="preserve">Bacon Immersion </w:t>
            </w:r>
            <w:r w:rsidRPr="001940D1">
              <w:rPr>
                <w:sz w:val="20"/>
              </w:rPr>
              <w:br/>
              <w:t>(+12 gal water)</w:t>
            </w:r>
          </w:p>
        </w:tc>
        <w:tc>
          <w:tcPr>
            <w:tcW w:w="1641" w:type="dxa"/>
            <w:vAlign w:val="center"/>
          </w:tcPr>
          <w:p w:rsidR="00CD752B" w:rsidRPr="001940D1" w:rsidRDefault="00CD752B" w:rsidP="00983FA0">
            <w:pPr>
              <w:spacing w:before="100" w:beforeAutospacing="1" w:after="100" w:afterAutospacing="1"/>
              <w:jc w:val="center"/>
              <w:rPr>
                <w:sz w:val="20"/>
              </w:rPr>
            </w:pPr>
            <w:r w:rsidRPr="001940D1">
              <w:rPr>
                <w:sz w:val="20"/>
              </w:rPr>
              <w:t>Bacon Dry Rub</w:t>
            </w:r>
          </w:p>
        </w:tc>
      </w:tr>
      <w:tr w:rsidR="00CD752B" w:rsidRPr="001940D1" w:rsidTr="00983FA0">
        <w:trPr>
          <w:trHeight w:val="436"/>
        </w:trPr>
        <w:tc>
          <w:tcPr>
            <w:tcW w:w="1301" w:type="dxa"/>
          </w:tcPr>
          <w:p w:rsidR="00CD752B" w:rsidRPr="001940D1" w:rsidRDefault="00CD752B" w:rsidP="00983FA0">
            <w:pPr>
              <w:spacing w:before="100" w:beforeAutospacing="1" w:after="100" w:afterAutospacing="1"/>
              <w:rPr>
                <w:sz w:val="20"/>
              </w:rPr>
            </w:pPr>
            <w:r w:rsidRPr="001940D1">
              <w:rPr>
                <w:sz w:val="20"/>
              </w:rPr>
              <w:t>Nitrite ppm critical limit</w:t>
            </w:r>
          </w:p>
        </w:tc>
        <w:tc>
          <w:tcPr>
            <w:tcW w:w="1578" w:type="dxa"/>
            <w:vAlign w:val="center"/>
          </w:tcPr>
          <w:p w:rsidR="00CD752B" w:rsidRPr="001940D1" w:rsidRDefault="00CD752B" w:rsidP="00983FA0">
            <w:pPr>
              <w:spacing w:before="100" w:beforeAutospacing="1" w:after="100" w:afterAutospacing="1"/>
              <w:jc w:val="center"/>
              <w:rPr>
                <w:sz w:val="20"/>
              </w:rPr>
            </w:pPr>
            <w:r w:rsidRPr="001940D1">
              <w:rPr>
                <w:sz w:val="20"/>
              </w:rPr>
              <w:t>200</w:t>
            </w:r>
          </w:p>
        </w:tc>
        <w:tc>
          <w:tcPr>
            <w:tcW w:w="1591" w:type="dxa"/>
            <w:vAlign w:val="center"/>
          </w:tcPr>
          <w:p w:rsidR="00CD752B" w:rsidRPr="001940D1" w:rsidRDefault="00CD752B" w:rsidP="00983FA0">
            <w:pPr>
              <w:spacing w:before="100" w:beforeAutospacing="1" w:after="100" w:afterAutospacing="1"/>
              <w:jc w:val="center"/>
              <w:rPr>
                <w:sz w:val="20"/>
              </w:rPr>
            </w:pPr>
            <w:r w:rsidRPr="001940D1">
              <w:rPr>
                <w:sz w:val="20"/>
              </w:rPr>
              <w:t>156</w:t>
            </w:r>
          </w:p>
        </w:tc>
        <w:tc>
          <w:tcPr>
            <w:tcW w:w="1371" w:type="dxa"/>
            <w:vAlign w:val="center"/>
          </w:tcPr>
          <w:p w:rsidR="00CD752B" w:rsidRPr="001940D1" w:rsidRDefault="00CD752B" w:rsidP="00983FA0">
            <w:pPr>
              <w:spacing w:before="100" w:beforeAutospacing="1" w:after="100" w:afterAutospacing="1"/>
              <w:jc w:val="center"/>
              <w:rPr>
                <w:sz w:val="20"/>
              </w:rPr>
            </w:pPr>
            <w:r w:rsidRPr="001940D1">
              <w:rPr>
                <w:sz w:val="20"/>
              </w:rPr>
              <w:t>625</w:t>
            </w:r>
          </w:p>
        </w:tc>
        <w:tc>
          <w:tcPr>
            <w:tcW w:w="1578" w:type="dxa"/>
            <w:vAlign w:val="center"/>
          </w:tcPr>
          <w:p w:rsidR="00CD752B" w:rsidRPr="001940D1" w:rsidRDefault="00CD752B" w:rsidP="00983FA0">
            <w:pPr>
              <w:spacing w:before="100" w:beforeAutospacing="1" w:after="100" w:afterAutospacing="1"/>
              <w:jc w:val="center"/>
              <w:rPr>
                <w:sz w:val="20"/>
              </w:rPr>
            </w:pPr>
            <w:r w:rsidRPr="001940D1">
              <w:rPr>
                <w:sz w:val="20"/>
              </w:rPr>
              <w:t>120</w:t>
            </w:r>
          </w:p>
        </w:tc>
        <w:tc>
          <w:tcPr>
            <w:tcW w:w="1641" w:type="dxa"/>
            <w:vAlign w:val="center"/>
          </w:tcPr>
          <w:p w:rsidR="00CD752B" w:rsidRPr="001940D1" w:rsidRDefault="00CD752B" w:rsidP="00983FA0">
            <w:pPr>
              <w:spacing w:before="100" w:beforeAutospacing="1" w:after="100" w:afterAutospacing="1"/>
              <w:jc w:val="center"/>
              <w:rPr>
                <w:sz w:val="20"/>
              </w:rPr>
            </w:pPr>
            <w:r w:rsidRPr="001940D1">
              <w:rPr>
                <w:sz w:val="20"/>
              </w:rPr>
              <w:t>200</w:t>
            </w:r>
          </w:p>
        </w:tc>
      </w:tr>
      <w:tr w:rsidR="00CD752B" w:rsidRPr="001940D1" w:rsidTr="00983FA0">
        <w:trPr>
          <w:trHeight w:val="436"/>
        </w:trPr>
        <w:tc>
          <w:tcPr>
            <w:tcW w:w="9060" w:type="dxa"/>
            <w:gridSpan w:val="6"/>
          </w:tcPr>
          <w:p w:rsidR="00CD752B" w:rsidRPr="001940D1" w:rsidRDefault="00CD752B" w:rsidP="00983FA0">
            <w:pPr>
              <w:spacing w:before="100" w:beforeAutospacing="1" w:after="100" w:afterAutospacing="1"/>
              <w:rPr>
                <w:i/>
                <w:sz w:val="20"/>
              </w:rPr>
            </w:pPr>
            <w:r w:rsidRPr="001940D1">
              <w:rPr>
                <w:i/>
                <w:sz w:val="20"/>
              </w:rPr>
              <w:t xml:space="preserve">The nitrite critical limit comes from USDA requirements in 9 CFR 424.  The cure No.1. </w:t>
            </w:r>
            <w:proofErr w:type="gramStart"/>
            <w:r w:rsidRPr="001940D1">
              <w:rPr>
                <w:i/>
                <w:sz w:val="20"/>
              </w:rPr>
              <w:t>mix</w:t>
            </w:r>
            <w:proofErr w:type="gramEnd"/>
            <w:r w:rsidRPr="001940D1">
              <w:rPr>
                <w:i/>
                <w:sz w:val="20"/>
              </w:rPr>
              <w:t xml:space="preserve"> in ounces by weight is only valid for cure mixes of 6.25% nitrite and 93.75% salt.  </w:t>
            </w:r>
          </w:p>
        </w:tc>
      </w:tr>
    </w:tbl>
    <w:p w:rsidR="00CD752B" w:rsidRPr="001241B6" w:rsidRDefault="00CD752B" w:rsidP="00CD752B"/>
    <w:p w:rsidR="00CD752B" w:rsidRDefault="00CD752B" w:rsidP="00CD752B">
      <w:pPr>
        <w:rPr>
          <w:i/>
        </w:rPr>
      </w:pPr>
    </w:p>
    <w:p w:rsidR="00CD752B" w:rsidRDefault="00CD752B" w:rsidP="00CD752B">
      <w:pPr>
        <w:ind w:left="1440"/>
        <w:rPr>
          <w:szCs w:val="24"/>
        </w:rPr>
      </w:pPr>
      <w:r>
        <w:rPr>
          <w:szCs w:val="24"/>
        </w:rPr>
        <w:t xml:space="preserve">Cure dry rubs can be applied and the food wrapped in plastic or placed inside a plastic zip style bag. Cure brine and food can be mixed in a food safe bin with a lid.   </w:t>
      </w:r>
    </w:p>
    <w:p w:rsidR="00CD752B" w:rsidRDefault="00CD752B" w:rsidP="00CD752B">
      <w:pPr>
        <w:ind w:left="1440"/>
        <w:rPr>
          <w:szCs w:val="24"/>
        </w:rPr>
      </w:pPr>
      <w:r>
        <w:rPr>
          <w:szCs w:val="24"/>
        </w:rPr>
        <w:t>Dry rubs or brines should not be reused and should be immediately discarded after use.  Dry cure especially, and brine cure, MUST be rinsed off just prior to use (cooking).</w:t>
      </w:r>
    </w:p>
    <w:p w:rsidR="00CD752B" w:rsidRDefault="00CD752B" w:rsidP="00CD752B">
      <w:pPr>
        <w:ind w:left="720" w:firstLine="720"/>
      </w:pPr>
      <w:r>
        <w:rPr>
          <w:szCs w:val="24"/>
        </w:rPr>
        <w:t>The product is NOT permitted to be stored in reduced oxygen packaging (ROP).</w:t>
      </w:r>
    </w:p>
    <w:p w:rsidR="00CD752B" w:rsidRDefault="00CD752B" w:rsidP="00CD752B"/>
    <w:p w:rsidR="00CD752B" w:rsidRPr="007C2DC8" w:rsidRDefault="00CD752B" w:rsidP="00CD752B">
      <w:pPr>
        <w:ind w:left="1440"/>
      </w:pPr>
      <w:r>
        <w:t>NOTE:  The cured food must be held at 41F or below prior to the cooking process. A shelf life of 7 days or less is calculated after the cooking process takes place, i.e., once the product is a ready to eat food (as per section 3-501 of the FDA Food Code).</w:t>
      </w:r>
    </w:p>
    <w:p w:rsidR="00CD752B" w:rsidRDefault="00CD752B" w:rsidP="00CD752B"/>
    <w:p w:rsidR="00CD752B" w:rsidRDefault="00CD752B" w:rsidP="00CD752B">
      <w:pPr>
        <w:pStyle w:val="ListParagraph"/>
        <w:numPr>
          <w:ilvl w:val="0"/>
          <w:numId w:val="1"/>
        </w:numPr>
      </w:pPr>
      <w:r>
        <w:t xml:space="preserve">Reference: FDA Food Code.  Section 3-501.17, Page 92 and Appendix 6, Section 3, </w:t>
      </w:r>
      <w:r w:rsidRPr="00F87EB0">
        <w:t xml:space="preserve">Pages </w:t>
      </w:r>
      <w:r>
        <w:t>634-641.  www.fda.gov</w:t>
      </w:r>
    </w:p>
    <w:p w:rsidR="00CD752B" w:rsidRDefault="00CD752B" w:rsidP="00CD752B">
      <w:pPr>
        <w:pStyle w:val="ListParagraph"/>
        <w:numPr>
          <w:ilvl w:val="0"/>
          <w:numId w:val="1"/>
        </w:numPr>
      </w:pPr>
      <w:r>
        <w:t xml:space="preserve">Reference: National Library of Medicine Hazardous Substances Data Base, Sodium nitrite </w:t>
      </w:r>
      <w:r w:rsidRPr="00A43AF2">
        <w:t>www.nlm.nih.gov</w:t>
      </w:r>
    </w:p>
    <w:p w:rsidR="00CD752B" w:rsidRDefault="00CD752B" w:rsidP="00CD752B">
      <w:pPr>
        <w:pStyle w:val="ListParagraph"/>
        <w:numPr>
          <w:ilvl w:val="0"/>
          <w:numId w:val="1"/>
        </w:numPr>
      </w:pPr>
      <w:r>
        <w:t>Reference:  Centers of Disease Control and Prevention (CDC), Botulism www.cdc.gov</w:t>
      </w:r>
    </w:p>
    <w:p w:rsidR="00CD752B" w:rsidRDefault="00CD752B" w:rsidP="00CD752B">
      <w:pPr>
        <w:pStyle w:val="ListParagraph"/>
        <w:numPr>
          <w:ilvl w:val="0"/>
          <w:numId w:val="1"/>
        </w:numPr>
      </w:pPr>
      <w:r>
        <w:t xml:space="preserve">Reference:  FSIS Processing Inspectors Calculations Handbook </w:t>
      </w:r>
      <w:r w:rsidRPr="00A43AF2">
        <w:t>www.fsis.usda.gov</w:t>
      </w:r>
    </w:p>
    <w:p w:rsidR="00CD752B" w:rsidRDefault="00CD752B" w:rsidP="00CD752B"/>
    <w:p w:rsidR="00CD752B" w:rsidRDefault="00CD752B" w:rsidP="00CD752B">
      <w:pPr>
        <w:pStyle w:val="Heading1"/>
      </w:pPr>
      <w:r>
        <w:t xml:space="preserve">D. CCP Summary </w:t>
      </w:r>
    </w:p>
    <w:p w:rsidR="00CD752B" w:rsidRDefault="00CD752B" w:rsidP="00CD752B"/>
    <w:p w:rsidR="00CD752B" w:rsidRPr="000C5D1D" w:rsidRDefault="00CD752B" w:rsidP="00CD752B">
      <w:pPr>
        <w:ind w:left="520" w:firstLine="720"/>
        <w:rPr>
          <w:b/>
        </w:rPr>
      </w:pPr>
      <w:r w:rsidRPr="000C5D1D">
        <w:rPr>
          <w:b/>
        </w:rPr>
        <w:t>D.1. Critical Limit(s)</w:t>
      </w:r>
    </w:p>
    <w:p w:rsidR="00CD752B" w:rsidRDefault="00CD752B" w:rsidP="00CD752B">
      <w:pPr>
        <w:ind w:left="1240"/>
      </w:pPr>
      <w:r>
        <w:t>The curing salt must be accurately measured. FSIS recommends a minimum of 120ppm of ingoing nitrite in all cured “Keep Refrigerated” products.</w:t>
      </w:r>
    </w:p>
    <w:p w:rsidR="00CD752B" w:rsidRDefault="00CD752B" w:rsidP="00CD752B">
      <w:pPr>
        <w:ind w:firstLine="720"/>
      </w:pPr>
    </w:p>
    <w:p w:rsidR="00CD752B" w:rsidRDefault="00CD752B" w:rsidP="00CD752B">
      <w:pPr>
        <w:ind w:left="520" w:firstLine="720"/>
      </w:pPr>
      <w:r w:rsidRPr="000C5D1D">
        <w:rPr>
          <w:b/>
        </w:rPr>
        <w:t>D.2. Monitoring</w:t>
      </w:r>
    </w:p>
    <w:p w:rsidR="00CD752B" w:rsidRDefault="00CD752B" w:rsidP="00CD752B">
      <w:pPr>
        <w:ind w:left="1240"/>
      </w:pPr>
      <w:r>
        <w:t xml:space="preserve">Each batch of product must be measured using a calibrated scale.  </w:t>
      </w:r>
      <w:proofErr w:type="gramStart"/>
      <w:r>
        <w:t>Document weight of product and curing salt on the curing log.</w:t>
      </w:r>
      <w:proofErr w:type="gramEnd"/>
      <w:r>
        <w:t xml:space="preserve"> The salt must be evenly distributed by mixing into comminuted ground meat, coating the exterior with a dry rub, or completely submerging in brine. The cured product must be stored at 41F or below.  </w:t>
      </w:r>
    </w:p>
    <w:p w:rsidR="00CD752B" w:rsidRDefault="00CD752B" w:rsidP="00CD752B"/>
    <w:p w:rsidR="00CD752B" w:rsidRDefault="00CD752B" w:rsidP="00CD752B">
      <w:pPr>
        <w:ind w:left="520" w:firstLine="720"/>
      </w:pPr>
      <w:r w:rsidRPr="000C5D1D">
        <w:rPr>
          <w:b/>
        </w:rPr>
        <w:t>D.3</w:t>
      </w:r>
      <w:proofErr w:type="gramStart"/>
      <w:r w:rsidRPr="000C5D1D">
        <w:rPr>
          <w:b/>
        </w:rPr>
        <w:t>.</w:t>
      </w:r>
      <w:r>
        <w:t xml:space="preserve">  </w:t>
      </w:r>
      <w:r w:rsidRPr="000C5D1D">
        <w:rPr>
          <w:b/>
        </w:rPr>
        <w:t>Corrective</w:t>
      </w:r>
      <w:proofErr w:type="gramEnd"/>
      <w:r w:rsidRPr="000C5D1D">
        <w:rPr>
          <w:b/>
        </w:rPr>
        <w:t xml:space="preserve"> Action</w:t>
      </w:r>
    </w:p>
    <w:p w:rsidR="00CD752B" w:rsidRDefault="00CD752B" w:rsidP="00CD752B">
      <w:pPr>
        <w:ind w:left="1240"/>
      </w:pPr>
      <w:r>
        <w:t>If the curing salts are not measured properly according to the recipe, repeat the measurement of the curing salts.  If the improperly measured curing salts were added to meat/poultry, the meat/poultry must be discarded.  The corrective action taken must be documented on the curing log.</w:t>
      </w:r>
    </w:p>
    <w:p w:rsidR="00CD752B" w:rsidRDefault="00CD752B" w:rsidP="00CD752B"/>
    <w:p w:rsidR="00CD752B" w:rsidRPr="000C5D1D" w:rsidRDefault="00CD752B" w:rsidP="00CD752B">
      <w:pPr>
        <w:ind w:left="720" w:firstLine="520"/>
        <w:rPr>
          <w:b/>
        </w:rPr>
      </w:pPr>
      <w:r w:rsidRPr="000C5D1D">
        <w:rPr>
          <w:b/>
        </w:rPr>
        <w:t>D.4. Verification</w:t>
      </w:r>
    </w:p>
    <w:p w:rsidR="00CD752B" w:rsidRDefault="00CD752B" w:rsidP="00CD752B">
      <w:pPr>
        <w:ind w:left="1240"/>
      </w:pPr>
      <w:r>
        <w:t xml:space="preserve">The PIC </w:t>
      </w:r>
      <w:r w:rsidRPr="000D16EA">
        <w:t xml:space="preserve">or a designee </w:t>
      </w:r>
      <w:r>
        <w:t>is responsible for reviewing and signing the curing log daily when the process is conducted.  The PIC should also observe employees performing the measurement and recording required data periodically.  Document observation notes on the curing log.</w:t>
      </w:r>
    </w:p>
    <w:p w:rsidR="00CD752B" w:rsidRDefault="00CD752B" w:rsidP="00CD752B"/>
    <w:p w:rsidR="00CD752B" w:rsidRPr="00FC62B7" w:rsidRDefault="00CD752B" w:rsidP="00CD752B">
      <w:pPr>
        <w:ind w:left="1240"/>
        <w:rPr>
          <w:rFonts w:eastAsia="Times New Roman"/>
          <w:sz w:val="20"/>
          <w:szCs w:val="20"/>
        </w:rPr>
      </w:pPr>
      <w:r w:rsidRPr="000C5D1D">
        <w:rPr>
          <w:b/>
        </w:rPr>
        <w:t>D.5. Validation</w:t>
      </w:r>
      <w:r>
        <w:br/>
      </w:r>
      <w:r w:rsidRPr="00244A33">
        <w:rPr>
          <w:rFonts w:ascii="Calibri" w:eastAsia="Times New Roman" w:hAnsi="Calibri" w:cs="Times New Roman"/>
          <w:color w:val="1F497D"/>
          <w:shd w:val="clear" w:color="auto" w:fill="FFFFFF"/>
        </w:rPr>
        <w:lastRenderedPageBreak/>
        <w:t> </w:t>
      </w:r>
      <w:r w:rsidRPr="00FC62B7">
        <w:rPr>
          <w:rFonts w:eastAsia="Times New Roman"/>
          <w:shd w:val="clear" w:color="auto" w:fill="FFFFFF"/>
        </w:rPr>
        <w:t xml:space="preserve">Per the USDA FSIS, </w:t>
      </w:r>
      <w:r w:rsidRPr="00FC62B7">
        <w:rPr>
          <w:rFonts w:eastAsia="Times New Roman"/>
          <w:bCs/>
        </w:rPr>
        <w:t>curing agents</w:t>
      </w:r>
      <w:r w:rsidRPr="00FC62B7">
        <w:rPr>
          <w:rFonts w:eastAsia="Times New Roman"/>
          <w:shd w:val="clear" w:color="auto" w:fill="FFFFFF"/>
        </w:rPr>
        <w:t> are considered to have multiple functions including inhibiting rancidity in cured meats, fixing the color of cooked cured meats by forming a heat stable form of myoglobin; and retarding the outgrowth of </w:t>
      </w:r>
      <w:r w:rsidRPr="00FC62B7" w:rsidDel="00B34842">
        <w:rPr>
          <w:rFonts w:eastAsia="Times New Roman"/>
          <w:i/>
          <w:iCs/>
        </w:rPr>
        <w:t xml:space="preserve"> </w:t>
      </w:r>
      <w:r w:rsidRPr="00FC62B7">
        <w:rPr>
          <w:rFonts w:eastAsia="Times New Roman"/>
          <w:i/>
          <w:iCs/>
        </w:rPr>
        <w:t>C. botulinum</w:t>
      </w:r>
      <w:r w:rsidRPr="00FC62B7">
        <w:rPr>
          <w:rFonts w:eastAsia="Times New Roman"/>
          <w:shd w:val="clear" w:color="auto" w:fill="FFFFFF"/>
        </w:rPr>
        <w:t>, thus preventing formation of the toxin that causes botulism.  For this reaso</w:t>
      </w:r>
      <w:r>
        <w:rPr>
          <w:rFonts w:eastAsia="Times New Roman"/>
          <w:shd w:val="clear" w:color="auto" w:fill="FFFFFF"/>
        </w:rPr>
        <w:t>n, as a general rule, the USDA FSIS</w:t>
      </w:r>
      <w:r w:rsidRPr="00FC62B7">
        <w:rPr>
          <w:rFonts w:eastAsia="Times New Roman"/>
          <w:shd w:val="clear" w:color="auto" w:fill="FFFFFF"/>
        </w:rPr>
        <w:t xml:space="preserve"> recommends a </w:t>
      </w:r>
      <w:r w:rsidRPr="00FC62B7">
        <w:rPr>
          <w:rFonts w:eastAsia="Times New Roman"/>
          <w:bCs/>
          <w:i/>
          <w:iCs/>
        </w:rPr>
        <w:t>minimum </w:t>
      </w:r>
      <w:r w:rsidRPr="00FC62B7">
        <w:rPr>
          <w:rFonts w:eastAsia="Times New Roman"/>
          <w:bCs/>
        </w:rPr>
        <w:t>of 120 ppm of ingoing nitrite</w:t>
      </w:r>
      <w:r w:rsidRPr="00FC62B7">
        <w:rPr>
          <w:rFonts w:eastAsia="Times New Roman"/>
          <w:shd w:val="clear" w:color="auto" w:fill="FFFFFF"/>
        </w:rPr>
        <w:t> </w:t>
      </w:r>
      <w:r w:rsidRPr="00FC62B7">
        <w:rPr>
          <w:rFonts w:eastAsia="Times New Roman"/>
          <w:bCs/>
        </w:rPr>
        <w:t>in </w:t>
      </w:r>
      <w:r w:rsidRPr="00FC62B7">
        <w:rPr>
          <w:rFonts w:eastAsia="Times New Roman"/>
          <w:bCs/>
          <w:i/>
          <w:iCs/>
        </w:rPr>
        <w:t>all </w:t>
      </w:r>
      <w:r w:rsidRPr="00FC62B7">
        <w:rPr>
          <w:rFonts w:eastAsia="Times New Roman"/>
          <w:bCs/>
        </w:rPr>
        <w:t xml:space="preserve">cured "Keep Refrigerated" products.  To ensure that </w:t>
      </w:r>
      <w:r>
        <w:rPr>
          <w:rFonts w:eastAsia="Times New Roman"/>
          <w:bCs/>
        </w:rPr>
        <w:t xml:space="preserve">a minimum ingoing amount of </w:t>
      </w:r>
      <w:r w:rsidRPr="00FC62B7">
        <w:rPr>
          <w:rFonts w:eastAsia="Times New Roman"/>
          <w:bCs/>
        </w:rPr>
        <w:t>1</w:t>
      </w:r>
      <w:r>
        <w:rPr>
          <w:rFonts w:eastAsia="Times New Roman"/>
          <w:bCs/>
        </w:rPr>
        <w:t xml:space="preserve">20ppm sodium nitrite is in the product or to ensure the amount is as permitted per 9 CFR </w:t>
      </w:r>
      <w:proofErr w:type="gramStart"/>
      <w:r>
        <w:rPr>
          <w:rFonts w:eastAsia="Times New Roman"/>
          <w:bCs/>
        </w:rPr>
        <w:t>424</w:t>
      </w:r>
      <w:r w:rsidRPr="00FC62B7">
        <w:rPr>
          <w:rFonts w:eastAsia="Times New Roman"/>
          <w:bCs/>
        </w:rPr>
        <w:t>,</w:t>
      </w:r>
      <w:proofErr w:type="gramEnd"/>
      <w:r w:rsidRPr="00FC62B7">
        <w:rPr>
          <w:rFonts w:eastAsia="Times New Roman"/>
          <w:bCs/>
        </w:rPr>
        <w:t xml:space="preserve"> the facility must attach recipes (including ingredients and amounts</w:t>
      </w:r>
      <w:r>
        <w:rPr>
          <w:rFonts w:eastAsia="Times New Roman"/>
          <w:bCs/>
        </w:rPr>
        <w:t xml:space="preserve"> of ingredients</w:t>
      </w:r>
      <w:r w:rsidRPr="00FC62B7">
        <w:rPr>
          <w:rFonts w:eastAsia="Times New Roman"/>
          <w:bCs/>
        </w:rPr>
        <w:t xml:space="preserve">).  The recipes will be used </w:t>
      </w:r>
      <w:r>
        <w:rPr>
          <w:rFonts w:eastAsia="Times New Roman"/>
          <w:bCs/>
        </w:rPr>
        <w:t xml:space="preserve">by the health authority </w:t>
      </w:r>
      <w:r w:rsidRPr="00FC62B7">
        <w:rPr>
          <w:rFonts w:eastAsia="Times New Roman"/>
          <w:bCs/>
        </w:rPr>
        <w:t xml:space="preserve">to calculate the ingoing </w:t>
      </w:r>
      <w:r>
        <w:rPr>
          <w:rFonts w:eastAsia="Times New Roman"/>
          <w:bCs/>
        </w:rPr>
        <w:t xml:space="preserve">amount of nitrite in </w:t>
      </w:r>
      <w:r w:rsidRPr="00FC62B7">
        <w:rPr>
          <w:rFonts w:eastAsia="Times New Roman"/>
          <w:bCs/>
        </w:rPr>
        <w:t>the food.</w:t>
      </w:r>
    </w:p>
    <w:p w:rsidR="00CD752B" w:rsidRDefault="00CD752B" w:rsidP="00CD752B"/>
    <w:p w:rsidR="00CD752B" w:rsidRPr="000C5D1D" w:rsidRDefault="00CD752B" w:rsidP="00CD752B">
      <w:pPr>
        <w:ind w:left="520" w:firstLine="720"/>
        <w:rPr>
          <w:b/>
        </w:rPr>
      </w:pPr>
      <w:r w:rsidRPr="000C5D1D">
        <w:rPr>
          <w:b/>
        </w:rPr>
        <w:t>D.6. Record</w:t>
      </w:r>
    </w:p>
    <w:p w:rsidR="00CD752B" w:rsidRDefault="00CD752B" w:rsidP="00CD752B">
      <w:pPr>
        <w:ind w:left="1240"/>
      </w:pPr>
      <w:r>
        <w:t xml:space="preserve">Provide a blank curing log used for monitoring the measurement of each batch of cured product as part of this document.  A record of scale calibration, curing </w:t>
      </w:r>
      <w:r w:rsidRPr="000D16EA">
        <w:t>salt measurements, corrective actions, and supervisor verifications is kept on this single form.  Specifically, the following information</w:t>
      </w:r>
      <w:r>
        <w:t xml:space="preserve"> must be</w:t>
      </w:r>
      <w:r w:rsidRPr="000D16EA">
        <w:t xml:space="preserve"> included on the log: </w:t>
      </w:r>
      <w:r w:rsidRPr="000D16EA">
        <w:rPr>
          <w:szCs w:val="24"/>
        </w:rPr>
        <w:t xml:space="preserve">Date, Scale Calibration, </w:t>
      </w:r>
      <w:r w:rsidRPr="000D16EA">
        <w:t xml:space="preserve">Recipe name, Weight of Curing Salts, Weight of Meat/Poultry, Brine amount, </w:t>
      </w:r>
      <w:proofErr w:type="gramStart"/>
      <w:r w:rsidRPr="000D16EA">
        <w:rPr>
          <w:szCs w:val="24"/>
        </w:rPr>
        <w:t>Other</w:t>
      </w:r>
      <w:proofErr w:type="gramEnd"/>
      <w:r w:rsidRPr="000D16EA">
        <w:rPr>
          <w:szCs w:val="24"/>
        </w:rPr>
        <w:t xml:space="preserve"> ingredients</w:t>
      </w:r>
      <w:r w:rsidRPr="000D16EA">
        <w:t>, Corrective Action, Initials or Signature of the Processor and Initials or Signature of the Person in Charge</w:t>
      </w:r>
      <w:r>
        <w:t>.</w:t>
      </w:r>
    </w:p>
    <w:p w:rsidR="00CD752B" w:rsidRDefault="00CD752B" w:rsidP="00CD752B">
      <w:pPr>
        <w:ind w:left="700"/>
      </w:pPr>
    </w:p>
    <w:p w:rsidR="00CD752B" w:rsidRDefault="00CD752B" w:rsidP="00CD752B">
      <w:pPr>
        <w:ind w:left="1240"/>
      </w:pPr>
      <w:r w:rsidRPr="00C13628">
        <w:rPr>
          <w:i/>
        </w:rPr>
        <w:t>Note: Once records are created they MUST be kept for 6 months and made available to the RA upon inspection request</w:t>
      </w:r>
      <w:r>
        <w:t>.</w:t>
      </w:r>
    </w:p>
    <w:p w:rsidR="00CD752B" w:rsidRDefault="00CD752B" w:rsidP="00CD752B"/>
    <w:p w:rsidR="00CD752B" w:rsidRDefault="00CD752B" w:rsidP="00CD752B">
      <w:pPr>
        <w:pStyle w:val="Heading1"/>
      </w:pPr>
      <w:r>
        <w:t>E. Training</w:t>
      </w:r>
    </w:p>
    <w:p w:rsidR="00CD752B" w:rsidRDefault="00CD752B" w:rsidP="00CD752B"/>
    <w:p w:rsidR="00CD752B" w:rsidRDefault="00CD752B" w:rsidP="00CD752B">
      <w:pPr>
        <w:ind w:left="700"/>
      </w:pPr>
      <w:r>
        <w:t xml:space="preserve">Each employee who will have responsibility for making and measuring curing salts is REQUIRED to receive training such that they understand the hazards and controls and that they may perform their role in this </w:t>
      </w:r>
      <w:r w:rsidRPr="00C13628">
        <w:rPr>
          <w:b/>
        </w:rPr>
        <w:t>Single Hazard Special P</w:t>
      </w:r>
      <w:r>
        <w:rPr>
          <w:b/>
        </w:rPr>
        <w:t>rocess</w:t>
      </w:r>
      <w:r w:rsidRPr="00C13628">
        <w:rPr>
          <w:b/>
        </w:rPr>
        <w:t xml:space="preserve"> HACCP</w:t>
      </w:r>
      <w:r>
        <w:t xml:space="preserve"> </w:t>
      </w:r>
      <w:r w:rsidRPr="00C13628">
        <w:rPr>
          <w:b/>
        </w:rPr>
        <w:t>Template</w:t>
      </w:r>
      <w:r>
        <w:t xml:space="preserve">.  THE PIC must review section C and D with employees and complete a hands-on training for section D.  Provide a training log form as an attachment to this </w:t>
      </w:r>
      <w:r w:rsidRPr="00C13628">
        <w:rPr>
          <w:b/>
        </w:rPr>
        <w:t>Single Hazard Special Process HACCP</w:t>
      </w:r>
      <w:r>
        <w:t xml:space="preserve"> </w:t>
      </w:r>
      <w:r w:rsidRPr="00C13628">
        <w:rPr>
          <w:b/>
        </w:rPr>
        <w:t>Template</w:t>
      </w:r>
      <w:r>
        <w:t xml:space="preserve">.  The training sessions must be recorded in this log, and must include date, employee name in attendance, and instructor. Maintain the training log as an additional appendix to this </w:t>
      </w:r>
      <w:r w:rsidRPr="00C13628">
        <w:rPr>
          <w:b/>
        </w:rPr>
        <w:t>Single Hazard Special</w:t>
      </w:r>
      <w:r>
        <w:rPr>
          <w:b/>
        </w:rPr>
        <w:t xml:space="preserve"> Process</w:t>
      </w:r>
      <w:r w:rsidRPr="00C13628">
        <w:rPr>
          <w:b/>
        </w:rPr>
        <w:t xml:space="preserve"> HACCP</w:t>
      </w:r>
      <w:r>
        <w:t xml:space="preserve"> </w:t>
      </w:r>
      <w:r w:rsidRPr="00C13628">
        <w:rPr>
          <w:b/>
        </w:rPr>
        <w:t>Template</w:t>
      </w:r>
      <w:r>
        <w:t>.</w:t>
      </w:r>
    </w:p>
    <w:p w:rsidR="00CD752B" w:rsidRDefault="00CD752B" w:rsidP="00CD752B"/>
    <w:p w:rsidR="00CD752B" w:rsidRDefault="00CD752B" w:rsidP="00CD752B">
      <w:pPr>
        <w:pStyle w:val="Heading1"/>
      </w:pPr>
      <w:r>
        <w:t>F. Standard operating procedures</w:t>
      </w:r>
    </w:p>
    <w:p w:rsidR="00CD752B" w:rsidRDefault="00CD752B" w:rsidP="00CD752B">
      <w:pPr>
        <w:pStyle w:val="Heading1"/>
      </w:pPr>
    </w:p>
    <w:tbl>
      <w:tblPr>
        <w:tblStyle w:val="TableGrid"/>
        <w:tblW w:w="0" w:type="auto"/>
        <w:tblInd w:w="979" w:type="dxa"/>
        <w:tblLook w:val="04A0" w:firstRow="1" w:lastRow="0" w:firstColumn="1" w:lastColumn="0" w:noHBand="0" w:noVBand="1"/>
      </w:tblPr>
      <w:tblGrid>
        <w:gridCol w:w="9317"/>
      </w:tblGrid>
      <w:tr w:rsidR="00CD752B" w:rsidTr="00983FA0">
        <w:tc>
          <w:tcPr>
            <w:tcW w:w="9796" w:type="dxa"/>
          </w:tcPr>
          <w:p w:rsidR="00CD752B" w:rsidRDefault="00CD752B" w:rsidP="00983FA0">
            <w:pPr>
              <w:rPr>
                <w:color w:val="FF0000"/>
                <w:sz w:val="22"/>
              </w:rPr>
            </w:pPr>
            <w:r>
              <w:rPr>
                <w:sz w:val="22"/>
              </w:rPr>
              <w:t xml:space="preserve">For the Regulatory Authority to list.  </w:t>
            </w:r>
            <w:r w:rsidRPr="00171D87">
              <w:rPr>
                <w:sz w:val="22"/>
              </w:rPr>
              <w:t>Are there any SOPs required or reco</w:t>
            </w:r>
            <w:r>
              <w:rPr>
                <w:sz w:val="22"/>
              </w:rPr>
              <w:t xml:space="preserve">mmended that will make this </w:t>
            </w:r>
            <w:r w:rsidRPr="00C13628">
              <w:rPr>
                <w:b/>
                <w:sz w:val="22"/>
              </w:rPr>
              <w:t xml:space="preserve">Single Hazard Special Process HACCP Template </w:t>
            </w:r>
            <w:r w:rsidRPr="00171D87">
              <w:rPr>
                <w:sz w:val="22"/>
              </w:rPr>
              <w:t>safer?</w:t>
            </w:r>
            <w:r>
              <w:rPr>
                <w:sz w:val="22"/>
              </w:rPr>
              <w:t xml:space="preserve">  </w:t>
            </w:r>
            <w:r w:rsidRPr="00C13628">
              <w:rPr>
                <w:color w:val="FF0000"/>
                <w:sz w:val="22"/>
              </w:rPr>
              <w:t xml:space="preserve">Such as: </w:t>
            </w:r>
            <w:r>
              <w:rPr>
                <w:color w:val="FF0000"/>
                <w:sz w:val="22"/>
              </w:rPr>
              <w:t>c</w:t>
            </w:r>
            <w:r w:rsidRPr="00740EEF">
              <w:rPr>
                <w:color w:val="FF0000"/>
                <w:sz w:val="22"/>
              </w:rPr>
              <w:t>leaning and sanitizing food contact surfaces, personal hygiene, hand washing, eliminating bare hand contact</w:t>
            </w:r>
            <w:r>
              <w:rPr>
                <w:color w:val="FF0000"/>
                <w:sz w:val="22"/>
              </w:rPr>
              <w:t>, proper chemical/nitrite storage</w:t>
            </w:r>
          </w:p>
          <w:p w:rsidR="00CD752B" w:rsidRDefault="00CD752B" w:rsidP="00983FA0">
            <w:pPr>
              <w:rPr>
                <w:color w:val="FF0000"/>
                <w:sz w:val="22"/>
              </w:rPr>
            </w:pPr>
          </w:p>
          <w:p w:rsidR="00CD752B" w:rsidRDefault="00CD752B" w:rsidP="00983FA0">
            <w:pPr>
              <w:rPr>
                <w:color w:val="FF0000"/>
                <w:sz w:val="22"/>
              </w:rPr>
            </w:pPr>
          </w:p>
          <w:p w:rsidR="00CD752B" w:rsidRDefault="00CD752B" w:rsidP="00983FA0">
            <w:pPr>
              <w:rPr>
                <w:color w:val="FF0000"/>
                <w:sz w:val="22"/>
              </w:rPr>
            </w:pPr>
          </w:p>
          <w:p w:rsidR="00CD752B" w:rsidRDefault="00CD752B" w:rsidP="00983FA0">
            <w:pPr>
              <w:rPr>
                <w:color w:val="FF0000"/>
                <w:sz w:val="22"/>
              </w:rPr>
            </w:pPr>
          </w:p>
          <w:p w:rsidR="00CD752B" w:rsidRDefault="00CD752B" w:rsidP="00983FA0">
            <w:pPr>
              <w:rPr>
                <w:color w:val="FF0000"/>
                <w:sz w:val="22"/>
              </w:rPr>
            </w:pPr>
          </w:p>
          <w:p w:rsidR="00CD752B" w:rsidRDefault="00CD752B" w:rsidP="00983FA0">
            <w:pPr>
              <w:rPr>
                <w:color w:val="FF0000"/>
                <w:sz w:val="22"/>
              </w:rPr>
            </w:pPr>
          </w:p>
          <w:p w:rsidR="00CD752B" w:rsidRDefault="00CD752B" w:rsidP="00983FA0">
            <w:pPr>
              <w:rPr>
                <w:color w:val="FF0000"/>
                <w:sz w:val="22"/>
              </w:rPr>
            </w:pPr>
          </w:p>
          <w:p w:rsidR="00CD752B" w:rsidRDefault="00CD752B" w:rsidP="00983FA0">
            <w:pPr>
              <w:rPr>
                <w:color w:val="FF0000"/>
                <w:sz w:val="22"/>
              </w:rPr>
            </w:pPr>
          </w:p>
          <w:p w:rsidR="00CD752B" w:rsidRDefault="00CD752B" w:rsidP="00983FA0">
            <w:pPr>
              <w:rPr>
                <w:color w:val="FF0000"/>
                <w:sz w:val="22"/>
              </w:rPr>
            </w:pPr>
          </w:p>
          <w:p w:rsidR="00CD752B" w:rsidRDefault="00CD752B" w:rsidP="00983FA0">
            <w:pPr>
              <w:rPr>
                <w:color w:val="FF0000"/>
                <w:sz w:val="22"/>
              </w:rPr>
            </w:pPr>
          </w:p>
          <w:p w:rsidR="00CD752B" w:rsidRDefault="00CD752B" w:rsidP="00983FA0">
            <w:pPr>
              <w:rPr>
                <w:color w:val="FF0000"/>
                <w:sz w:val="22"/>
              </w:rPr>
            </w:pPr>
          </w:p>
          <w:p w:rsidR="00CD752B" w:rsidRDefault="00CD752B" w:rsidP="00983FA0">
            <w:pPr>
              <w:rPr>
                <w:color w:val="FF0000"/>
                <w:sz w:val="22"/>
              </w:rPr>
            </w:pPr>
          </w:p>
          <w:p w:rsidR="00CD752B" w:rsidRDefault="00CD752B" w:rsidP="00983FA0">
            <w:pPr>
              <w:rPr>
                <w:color w:val="FF0000"/>
                <w:sz w:val="22"/>
              </w:rPr>
            </w:pPr>
          </w:p>
          <w:p w:rsidR="00CD752B" w:rsidRDefault="00CD752B" w:rsidP="00983FA0"/>
        </w:tc>
      </w:tr>
    </w:tbl>
    <w:p w:rsidR="00CD752B" w:rsidRDefault="00CD752B" w:rsidP="00CD752B"/>
    <w:p w:rsidR="00CD752B" w:rsidRDefault="00CD752B" w:rsidP="00CD752B">
      <w:pPr>
        <w:pStyle w:val="Heading1"/>
      </w:pPr>
      <w:r>
        <w:t>Signature</w:t>
      </w:r>
    </w:p>
    <w:p w:rsidR="00CD752B" w:rsidRDefault="00CD752B" w:rsidP="00CD752B">
      <w:r w:rsidRPr="0026711C">
        <w:rPr>
          <w:highlight w:val="cyan"/>
        </w:rPr>
        <w:t>___________________</w:t>
      </w:r>
      <w:r>
        <w:t xml:space="preserve"> </w:t>
      </w:r>
      <w:proofErr w:type="gramStart"/>
      <w:r w:rsidRPr="0026711C">
        <w:rPr>
          <w:i/>
        </w:rPr>
        <w:t>print</w:t>
      </w:r>
      <w:proofErr w:type="gramEnd"/>
      <w:r w:rsidRPr="0026711C">
        <w:rPr>
          <w:i/>
        </w:rPr>
        <w:t xml:space="preserve"> name</w:t>
      </w:r>
      <w:r>
        <w:t xml:space="preserve">, as the person in charge of </w:t>
      </w:r>
      <w:r w:rsidRPr="0026711C">
        <w:rPr>
          <w:highlight w:val="cyan"/>
        </w:rPr>
        <w:t>________________</w:t>
      </w:r>
      <w:r>
        <w:t>, do certify that the above food safety plan will be fully implemented as written above.</w:t>
      </w:r>
    </w:p>
    <w:p w:rsidR="00CD752B" w:rsidRDefault="00CD752B" w:rsidP="00CD752B"/>
    <w:p w:rsidR="00CD752B" w:rsidRDefault="00CD752B" w:rsidP="00CD752B">
      <w:r w:rsidRPr="0026711C">
        <w:rPr>
          <w:highlight w:val="cyan"/>
        </w:rPr>
        <w:t>___________________</w:t>
      </w:r>
      <w:r>
        <w:t xml:space="preserve"> Signature </w:t>
      </w:r>
      <w:r w:rsidRPr="0026711C">
        <w:rPr>
          <w:highlight w:val="cyan"/>
        </w:rPr>
        <w:t>_____________</w:t>
      </w:r>
      <w:r>
        <w:t xml:space="preserve"> Date</w:t>
      </w:r>
    </w:p>
    <w:p w:rsidR="00CD752B" w:rsidRDefault="00CD752B" w:rsidP="00CD752B">
      <w:pPr>
        <w:rPr>
          <w:i/>
          <w:color w:val="FF0000"/>
          <w:highlight w:val="cyan"/>
        </w:rPr>
      </w:pPr>
    </w:p>
    <w:p w:rsidR="00CD752B" w:rsidRDefault="00CD752B" w:rsidP="00CD752B">
      <w:pPr>
        <w:rPr>
          <w:i/>
          <w:color w:val="FF0000"/>
          <w:highlight w:val="cyan"/>
        </w:rPr>
      </w:pPr>
    </w:p>
    <w:p w:rsidR="00CD752B" w:rsidRDefault="00CD752B" w:rsidP="00CD752B">
      <w:r w:rsidRPr="0026711C">
        <w:rPr>
          <w:i/>
          <w:color w:val="FF0000"/>
          <w:highlight w:val="cyan"/>
        </w:rPr>
        <w:t>___</w:t>
      </w:r>
      <w:r>
        <w:rPr>
          <w:i/>
          <w:color w:val="FF0000"/>
        </w:rPr>
        <w:t xml:space="preserve"> = operator fill in places.</w:t>
      </w:r>
    </w:p>
    <w:p w:rsidR="00CD752B" w:rsidRDefault="00CD752B" w:rsidP="00CD752B">
      <w:pPr>
        <w:rPr>
          <w:i/>
          <w:color w:val="FF0000"/>
        </w:rPr>
      </w:pPr>
      <w:r w:rsidRPr="008D676B">
        <w:rPr>
          <w:i/>
          <w:color w:val="FF0000"/>
        </w:rPr>
        <w:t>--</w:t>
      </w:r>
      <w:r>
        <w:rPr>
          <w:i/>
          <w:color w:val="FF0000"/>
        </w:rPr>
        <w:t>Attach a blank copy of a curing log</w:t>
      </w:r>
      <w:r w:rsidRPr="008D676B">
        <w:rPr>
          <w:i/>
          <w:color w:val="FF0000"/>
        </w:rPr>
        <w:t xml:space="preserve"> and a blank co</w:t>
      </w:r>
      <w:r>
        <w:rPr>
          <w:i/>
          <w:color w:val="FF0000"/>
        </w:rPr>
        <w:t xml:space="preserve">py of a training log </w:t>
      </w:r>
      <w:r w:rsidRPr="008D676B">
        <w:rPr>
          <w:i/>
          <w:color w:val="FF0000"/>
        </w:rPr>
        <w:t>to this</w:t>
      </w:r>
      <w:r>
        <w:rPr>
          <w:i/>
          <w:color w:val="FF0000"/>
        </w:rPr>
        <w:t xml:space="preserve"> </w:t>
      </w:r>
      <w:r w:rsidRPr="00C13628">
        <w:rPr>
          <w:b/>
          <w:i/>
          <w:color w:val="FF0000"/>
        </w:rPr>
        <w:t xml:space="preserve">Single Hazard </w:t>
      </w:r>
      <w:r w:rsidRPr="00C13628">
        <w:rPr>
          <w:b/>
          <w:color w:val="FF0000"/>
        </w:rPr>
        <w:t>Special Processes HACCP Template</w:t>
      </w:r>
      <w:r w:rsidRPr="008D676B">
        <w:rPr>
          <w:i/>
          <w:color w:val="FF0000"/>
        </w:rPr>
        <w:t>.</w:t>
      </w:r>
      <w:r>
        <w:rPr>
          <w:i/>
          <w:color w:val="FF0000"/>
        </w:rPr>
        <w:t xml:space="preserve">   </w:t>
      </w:r>
    </w:p>
    <w:p w:rsidR="00CD752B" w:rsidRDefault="00CD752B" w:rsidP="00CD752B">
      <w:pPr>
        <w:rPr>
          <w:i/>
          <w:color w:val="FF0000"/>
        </w:rPr>
      </w:pPr>
    </w:p>
    <w:p w:rsidR="00CD752B" w:rsidRDefault="00CD752B" w:rsidP="00CD752B">
      <w:pPr>
        <w:rPr>
          <w:i/>
          <w:color w:val="FF0000"/>
        </w:rPr>
      </w:pPr>
    </w:p>
    <w:p w:rsidR="00CD752B" w:rsidRPr="0026711C" w:rsidRDefault="00CD752B" w:rsidP="00CD752B">
      <w:pPr>
        <w:rPr>
          <w:i/>
          <w:color w:val="FF0000"/>
        </w:rPr>
      </w:pPr>
    </w:p>
    <w:p w:rsidR="007D6B2A" w:rsidRDefault="007D6B2A"/>
    <w:sectPr w:rsidR="007D6B2A" w:rsidSect="00983FA0">
      <w:headerReference w:type="default" r:id="rId8"/>
      <w:footerReference w:type="default" r:id="rId9"/>
      <w:pgSz w:w="12240" w:h="15840"/>
      <w:pgMar w:top="1440" w:right="1080" w:bottom="1440" w:left="1080" w:header="475" w:footer="86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C02A0">
      <w:r>
        <w:separator/>
      </w:r>
    </w:p>
  </w:endnote>
  <w:endnote w:type="continuationSeparator" w:id="0">
    <w:p w:rsidR="00000000" w:rsidRDefault="008C0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C90" w:rsidRDefault="00CD752B">
    <w:pPr>
      <w:pStyle w:val="Footer"/>
    </w:pPr>
    <w:r w:rsidRPr="00983FA0">
      <w:rPr>
        <w:color w:val="FF0000"/>
      </w:rPr>
      <w:t>DRAFT</w:t>
    </w:r>
    <w:r>
      <w:t xml:space="preserve"> – Conference Created Document October 23, 2017</w:t>
    </w:r>
  </w:p>
  <w:p w:rsidR="00C21B49" w:rsidRDefault="008C02A0">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C02A0">
      <w:r>
        <w:separator/>
      </w:r>
    </w:p>
  </w:footnote>
  <w:footnote w:type="continuationSeparator" w:id="0">
    <w:p w:rsidR="00000000" w:rsidRDefault="008C0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49" w:rsidRPr="00983FA0" w:rsidRDefault="00CD752B">
    <w:pPr>
      <w:pStyle w:val="Header"/>
      <w:rPr>
        <w:color w:val="FF0000"/>
      </w:rPr>
    </w:pPr>
    <w:r w:rsidRPr="00983FA0">
      <w:rPr>
        <w:color w:val="FF0000"/>
      </w:rPr>
      <w:t>DRAFT</w:t>
    </w:r>
  </w:p>
  <w:p w:rsidR="00C21B49" w:rsidRDefault="008C02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D1614"/>
    <w:multiLevelType w:val="hybridMultilevel"/>
    <w:tmpl w:val="2CFAC29C"/>
    <w:lvl w:ilvl="0" w:tplc="EE386BAC">
      <w:start w:val="3"/>
      <w:numFmt w:val="bullet"/>
      <w:lvlText w:val=""/>
      <w:lvlJc w:val="left"/>
      <w:pPr>
        <w:ind w:left="1080" w:hanging="360"/>
      </w:pPr>
      <w:rPr>
        <w:rFonts w:ascii="Symbol" w:eastAsia="Arial" w:hAnsi="Symbol" w:cs="Aria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52B"/>
    <w:rsid w:val="007D6B2A"/>
    <w:rsid w:val="008C02A0"/>
    <w:rsid w:val="00CD7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752B"/>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CD752B"/>
    <w:pPr>
      <w:ind w:left="1240" w:hanging="5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D752B"/>
    <w:rPr>
      <w:rFonts w:ascii="Arial" w:eastAsia="Arial" w:hAnsi="Arial" w:cs="Arial"/>
      <w:b/>
      <w:bCs/>
      <w:sz w:val="24"/>
      <w:szCs w:val="24"/>
    </w:rPr>
  </w:style>
  <w:style w:type="paragraph" w:styleId="BodyText">
    <w:name w:val="Body Text"/>
    <w:basedOn w:val="Normal"/>
    <w:link w:val="BodyTextChar"/>
    <w:uiPriority w:val="1"/>
    <w:qFormat/>
    <w:rsid w:val="00CD752B"/>
    <w:rPr>
      <w:sz w:val="24"/>
      <w:szCs w:val="24"/>
    </w:rPr>
  </w:style>
  <w:style w:type="character" w:customStyle="1" w:styleId="BodyTextChar">
    <w:name w:val="Body Text Char"/>
    <w:basedOn w:val="DefaultParagraphFont"/>
    <w:link w:val="BodyText"/>
    <w:uiPriority w:val="1"/>
    <w:rsid w:val="00CD752B"/>
    <w:rPr>
      <w:rFonts w:ascii="Arial" w:eastAsia="Arial" w:hAnsi="Arial" w:cs="Arial"/>
      <w:sz w:val="24"/>
      <w:szCs w:val="24"/>
    </w:rPr>
  </w:style>
  <w:style w:type="paragraph" w:styleId="ListParagraph">
    <w:name w:val="List Paragraph"/>
    <w:basedOn w:val="Normal"/>
    <w:uiPriority w:val="1"/>
    <w:qFormat/>
    <w:rsid w:val="00CD752B"/>
    <w:pPr>
      <w:ind w:left="1240" w:hanging="504"/>
    </w:pPr>
  </w:style>
  <w:style w:type="table" w:styleId="TableGrid">
    <w:name w:val="Table Grid"/>
    <w:basedOn w:val="TableNormal"/>
    <w:uiPriority w:val="59"/>
    <w:rsid w:val="00CD752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752B"/>
    <w:pPr>
      <w:tabs>
        <w:tab w:val="center" w:pos="4680"/>
        <w:tab w:val="right" w:pos="9360"/>
      </w:tabs>
    </w:pPr>
  </w:style>
  <w:style w:type="character" w:customStyle="1" w:styleId="HeaderChar">
    <w:name w:val="Header Char"/>
    <w:basedOn w:val="DefaultParagraphFont"/>
    <w:link w:val="Header"/>
    <w:uiPriority w:val="99"/>
    <w:rsid w:val="00CD752B"/>
    <w:rPr>
      <w:rFonts w:ascii="Arial" w:eastAsia="Arial" w:hAnsi="Arial" w:cs="Arial"/>
    </w:rPr>
  </w:style>
  <w:style w:type="paragraph" w:styleId="Footer">
    <w:name w:val="footer"/>
    <w:basedOn w:val="Normal"/>
    <w:link w:val="FooterChar"/>
    <w:uiPriority w:val="99"/>
    <w:unhideWhenUsed/>
    <w:rsid w:val="00CD752B"/>
    <w:pPr>
      <w:tabs>
        <w:tab w:val="center" w:pos="4680"/>
        <w:tab w:val="right" w:pos="9360"/>
      </w:tabs>
    </w:pPr>
  </w:style>
  <w:style w:type="character" w:customStyle="1" w:styleId="FooterChar">
    <w:name w:val="Footer Char"/>
    <w:basedOn w:val="DefaultParagraphFont"/>
    <w:link w:val="Footer"/>
    <w:uiPriority w:val="99"/>
    <w:rsid w:val="00CD752B"/>
    <w:rPr>
      <w:rFonts w:ascii="Arial" w:eastAsia="Arial" w:hAnsi="Arial" w:cs="Arial"/>
    </w:rPr>
  </w:style>
  <w:style w:type="paragraph" w:styleId="NormalWeb">
    <w:name w:val="Normal (Web)"/>
    <w:basedOn w:val="Normal"/>
    <w:uiPriority w:val="99"/>
    <w:unhideWhenUsed/>
    <w:rsid w:val="00CD752B"/>
    <w:pPr>
      <w:widowControl/>
      <w:autoSpaceDE/>
      <w:autoSpaceDN/>
      <w:spacing w:before="100" w:beforeAutospacing="1" w:after="100" w:afterAutospacing="1"/>
    </w:pPr>
    <w:rPr>
      <w:rFonts w:ascii="Times" w:eastAsiaTheme="minorHAnsi" w:hAnsi="Times" w:cs="Times New Roman"/>
      <w:sz w:val="20"/>
      <w:szCs w:val="20"/>
    </w:rPr>
  </w:style>
  <w:style w:type="character" w:styleId="CommentReference">
    <w:name w:val="annotation reference"/>
    <w:basedOn w:val="DefaultParagraphFont"/>
    <w:uiPriority w:val="99"/>
    <w:semiHidden/>
    <w:unhideWhenUsed/>
    <w:rsid w:val="00CD752B"/>
    <w:rPr>
      <w:sz w:val="16"/>
      <w:szCs w:val="16"/>
    </w:rPr>
  </w:style>
  <w:style w:type="paragraph" w:styleId="CommentText">
    <w:name w:val="annotation text"/>
    <w:basedOn w:val="Normal"/>
    <w:link w:val="CommentTextChar"/>
    <w:uiPriority w:val="99"/>
    <w:semiHidden/>
    <w:unhideWhenUsed/>
    <w:rsid w:val="00CD752B"/>
    <w:rPr>
      <w:sz w:val="20"/>
      <w:szCs w:val="20"/>
    </w:rPr>
  </w:style>
  <w:style w:type="character" w:customStyle="1" w:styleId="CommentTextChar">
    <w:name w:val="Comment Text Char"/>
    <w:basedOn w:val="DefaultParagraphFont"/>
    <w:link w:val="CommentText"/>
    <w:uiPriority w:val="99"/>
    <w:semiHidden/>
    <w:rsid w:val="00CD752B"/>
    <w:rPr>
      <w:rFonts w:ascii="Arial" w:eastAsia="Arial" w:hAnsi="Arial" w:cs="Arial"/>
      <w:sz w:val="20"/>
      <w:szCs w:val="20"/>
    </w:rPr>
  </w:style>
  <w:style w:type="paragraph" w:styleId="BalloonText">
    <w:name w:val="Balloon Text"/>
    <w:basedOn w:val="Normal"/>
    <w:link w:val="BalloonTextChar"/>
    <w:uiPriority w:val="99"/>
    <w:semiHidden/>
    <w:unhideWhenUsed/>
    <w:rsid w:val="00CD752B"/>
    <w:rPr>
      <w:rFonts w:ascii="Tahoma" w:hAnsi="Tahoma" w:cs="Tahoma"/>
      <w:sz w:val="16"/>
      <w:szCs w:val="16"/>
    </w:rPr>
  </w:style>
  <w:style w:type="character" w:customStyle="1" w:styleId="BalloonTextChar">
    <w:name w:val="Balloon Text Char"/>
    <w:basedOn w:val="DefaultParagraphFont"/>
    <w:link w:val="BalloonText"/>
    <w:uiPriority w:val="99"/>
    <w:semiHidden/>
    <w:rsid w:val="00CD752B"/>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752B"/>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CD752B"/>
    <w:pPr>
      <w:ind w:left="1240" w:hanging="5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D752B"/>
    <w:rPr>
      <w:rFonts w:ascii="Arial" w:eastAsia="Arial" w:hAnsi="Arial" w:cs="Arial"/>
      <w:b/>
      <w:bCs/>
      <w:sz w:val="24"/>
      <w:szCs w:val="24"/>
    </w:rPr>
  </w:style>
  <w:style w:type="paragraph" w:styleId="BodyText">
    <w:name w:val="Body Text"/>
    <w:basedOn w:val="Normal"/>
    <w:link w:val="BodyTextChar"/>
    <w:uiPriority w:val="1"/>
    <w:qFormat/>
    <w:rsid w:val="00CD752B"/>
    <w:rPr>
      <w:sz w:val="24"/>
      <w:szCs w:val="24"/>
    </w:rPr>
  </w:style>
  <w:style w:type="character" w:customStyle="1" w:styleId="BodyTextChar">
    <w:name w:val="Body Text Char"/>
    <w:basedOn w:val="DefaultParagraphFont"/>
    <w:link w:val="BodyText"/>
    <w:uiPriority w:val="1"/>
    <w:rsid w:val="00CD752B"/>
    <w:rPr>
      <w:rFonts w:ascii="Arial" w:eastAsia="Arial" w:hAnsi="Arial" w:cs="Arial"/>
      <w:sz w:val="24"/>
      <w:szCs w:val="24"/>
    </w:rPr>
  </w:style>
  <w:style w:type="paragraph" w:styleId="ListParagraph">
    <w:name w:val="List Paragraph"/>
    <w:basedOn w:val="Normal"/>
    <w:uiPriority w:val="1"/>
    <w:qFormat/>
    <w:rsid w:val="00CD752B"/>
    <w:pPr>
      <w:ind w:left="1240" w:hanging="504"/>
    </w:pPr>
  </w:style>
  <w:style w:type="table" w:styleId="TableGrid">
    <w:name w:val="Table Grid"/>
    <w:basedOn w:val="TableNormal"/>
    <w:uiPriority w:val="59"/>
    <w:rsid w:val="00CD752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752B"/>
    <w:pPr>
      <w:tabs>
        <w:tab w:val="center" w:pos="4680"/>
        <w:tab w:val="right" w:pos="9360"/>
      </w:tabs>
    </w:pPr>
  </w:style>
  <w:style w:type="character" w:customStyle="1" w:styleId="HeaderChar">
    <w:name w:val="Header Char"/>
    <w:basedOn w:val="DefaultParagraphFont"/>
    <w:link w:val="Header"/>
    <w:uiPriority w:val="99"/>
    <w:rsid w:val="00CD752B"/>
    <w:rPr>
      <w:rFonts w:ascii="Arial" w:eastAsia="Arial" w:hAnsi="Arial" w:cs="Arial"/>
    </w:rPr>
  </w:style>
  <w:style w:type="paragraph" w:styleId="Footer">
    <w:name w:val="footer"/>
    <w:basedOn w:val="Normal"/>
    <w:link w:val="FooterChar"/>
    <w:uiPriority w:val="99"/>
    <w:unhideWhenUsed/>
    <w:rsid w:val="00CD752B"/>
    <w:pPr>
      <w:tabs>
        <w:tab w:val="center" w:pos="4680"/>
        <w:tab w:val="right" w:pos="9360"/>
      </w:tabs>
    </w:pPr>
  </w:style>
  <w:style w:type="character" w:customStyle="1" w:styleId="FooterChar">
    <w:name w:val="Footer Char"/>
    <w:basedOn w:val="DefaultParagraphFont"/>
    <w:link w:val="Footer"/>
    <w:uiPriority w:val="99"/>
    <w:rsid w:val="00CD752B"/>
    <w:rPr>
      <w:rFonts w:ascii="Arial" w:eastAsia="Arial" w:hAnsi="Arial" w:cs="Arial"/>
    </w:rPr>
  </w:style>
  <w:style w:type="paragraph" w:styleId="NormalWeb">
    <w:name w:val="Normal (Web)"/>
    <w:basedOn w:val="Normal"/>
    <w:uiPriority w:val="99"/>
    <w:unhideWhenUsed/>
    <w:rsid w:val="00CD752B"/>
    <w:pPr>
      <w:widowControl/>
      <w:autoSpaceDE/>
      <w:autoSpaceDN/>
      <w:spacing w:before="100" w:beforeAutospacing="1" w:after="100" w:afterAutospacing="1"/>
    </w:pPr>
    <w:rPr>
      <w:rFonts w:ascii="Times" w:eastAsiaTheme="minorHAnsi" w:hAnsi="Times" w:cs="Times New Roman"/>
      <w:sz w:val="20"/>
      <w:szCs w:val="20"/>
    </w:rPr>
  </w:style>
  <w:style w:type="character" w:styleId="CommentReference">
    <w:name w:val="annotation reference"/>
    <w:basedOn w:val="DefaultParagraphFont"/>
    <w:uiPriority w:val="99"/>
    <w:semiHidden/>
    <w:unhideWhenUsed/>
    <w:rsid w:val="00CD752B"/>
    <w:rPr>
      <w:sz w:val="16"/>
      <w:szCs w:val="16"/>
    </w:rPr>
  </w:style>
  <w:style w:type="paragraph" w:styleId="CommentText">
    <w:name w:val="annotation text"/>
    <w:basedOn w:val="Normal"/>
    <w:link w:val="CommentTextChar"/>
    <w:uiPriority w:val="99"/>
    <w:semiHidden/>
    <w:unhideWhenUsed/>
    <w:rsid w:val="00CD752B"/>
    <w:rPr>
      <w:sz w:val="20"/>
      <w:szCs w:val="20"/>
    </w:rPr>
  </w:style>
  <w:style w:type="character" w:customStyle="1" w:styleId="CommentTextChar">
    <w:name w:val="Comment Text Char"/>
    <w:basedOn w:val="DefaultParagraphFont"/>
    <w:link w:val="CommentText"/>
    <w:uiPriority w:val="99"/>
    <w:semiHidden/>
    <w:rsid w:val="00CD752B"/>
    <w:rPr>
      <w:rFonts w:ascii="Arial" w:eastAsia="Arial" w:hAnsi="Arial" w:cs="Arial"/>
      <w:sz w:val="20"/>
      <w:szCs w:val="20"/>
    </w:rPr>
  </w:style>
  <w:style w:type="paragraph" w:styleId="BalloonText">
    <w:name w:val="Balloon Text"/>
    <w:basedOn w:val="Normal"/>
    <w:link w:val="BalloonTextChar"/>
    <w:uiPriority w:val="99"/>
    <w:semiHidden/>
    <w:unhideWhenUsed/>
    <w:rsid w:val="00CD752B"/>
    <w:rPr>
      <w:rFonts w:ascii="Tahoma" w:hAnsi="Tahoma" w:cs="Tahoma"/>
      <w:sz w:val="16"/>
      <w:szCs w:val="16"/>
    </w:rPr>
  </w:style>
  <w:style w:type="character" w:customStyle="1" w:styleId="BalloonTextChar">
    <w:name w:val="Balloon Text Char"/>
    <w:basedOn w:val="DefaultParagraphFont"/>
    <w:link w:val="BalloonText"/>
    <w:uiPriority w:val="99"/>
    <w:semiHidden/>
    <w:rsid w:val="00CD752B"/>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1780</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Sarrocco_Smith, Davene</dc:creator>
  <cp:lastModifiedBy>Sarrocco_Smith, Davene</cp:lastModifiedBy>
  <cp:revision>2</cp:revision>
  <dcterms:created xsi:type="dcterms:W3CDTF">2018-01-09T17:01:00Z</dcterms:created>
  <dcterms:modified xsi:type="dcterms:W3CDTF">2018-01-09T17:12:00Z</dcterms:modified>
</cp:coreProperties>
</file>