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4D1C">
      <w:pPr>
        <w:jc w:val="center"/>
        <w:rPr>
          <w:rFonts w:ascii="Arial" w:hAnsi="Arial" w:cs="Arial"/>
          <w:b/>
        </w:rPr>
      </w:pPr>
      <w:bookmarkStart w:id="0" w:name="_GoBack"/>
      <w:bookmarkEnd w:id="0"/>
      <w:r>
        <w:rPr>
          <w:rFonts w:ascii="Arial" w:hAnsi="Arial" w:cs="Arial"/>
          <w:b/>
        </w:rPr>
        <w:t>Conference for Food Protection</w:t>
      </w:r>
    </w:p>
    <w:p w:rsidR="00000000" w:rsidRDefault="00A74D1C">
      <w:pPr>
        <w:jc w:val="center"/>
        <w:rPr>
          <w:rFonts w:ascii="Arial" w:hAnsi="Arial" w:cs="Arial"/>
          <w:b/>
        </w:rPr>
      </w:pPr>
      <w:r>
        <w:rPr>
          <w:rFonts w:ascii="Arial" w:hAnsi="Arial" w:cs="Arial"/>
          <w:b/>
        </w:rPr>
        <w:t>2016 Issue Form</w:t>
      </w:r>
    </w:p>
    <w:p w:rsidR="00000000" w:rsidRDefault="00A74D1C">
      <w:pPr>
        <w:rPr>
          <w:rFonts w:ascii="Arial" w:hAnsi="Arial" w:cs="Arial"/>
          <w:b/>
        </w:rPr>
      </w:pPr>
    </w:p>
    <w:p w:rsidR="00000000" w:rsidRDefault="00A74D1C">
      <w:pPr>
        <w:jc w:val="right"/>
        <w:rPr>
          <w:rFonts w:ascii="Arial" w:hAnsi="Arial" w:cs="Arial"/>
          <w:b/>
        </w:rPr>
      </w:pPr>
      <w:r>
        <w:rPr>
          <w:rFonts w:ascii="Arial" w:hAnsi="Arial" w:cs="Arial"/>
          <w:b/>
        </w:rPr>
        <w:t>Issue: 2016 II-007</w:t>
      </w:r>
    </w:p>
    <w:p w:rsidR="00000000" w:rsidRDefault="00A74D1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74D1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74D1C">
            <w:pPr>
              <w:rPr>
                <w:rFonts w:ascii="Arial" w:hAnsi="Arial" w:cs="Arial"/>
              </w:rPr>
            </w:pPr>
            <w:r>
              <w:rPr>
                <w:rFonts w:ascii="Arial" w:hAnsi="Arial" w:cs="Arial"/>
              </w:rPr>
              <w:t>Accepted as</w:t>
            </w:r>
          </w:p>
          <w:p w:rsidR="00000000" w:rsidRDefault="00A74D1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74D1C">
            <w:pPr>
              <w:rPr>
                <w:rFonts w:ascii="Arial" w:hAnsi="Arial" w:cs="Arial"/>
                <w:b/>
              </w:rPr>
            </w:pPr>
          </w:p>
        </w:tc>
        <w:tc>
          <w:tcPr>
            <w:tcW w:w="1728" w:type="dxa"/>
            <w:tcBorders>
              <w:top w:val="nil"/>
              <w:left w:val="nil"/>
              <w:bottom w:val="nil"/>
              <w:right w:val="nil"/>
            </w:tcBorders>
            <w:vAlign w:val="bottom"/>
            <w:hideMark/>
          </w:tcPr>
          <w:p w:rsidR="00000000" w:rsidRDefault="00A74D1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74D1C">
            <w:pPr>
              <w:rPr>
                <w:rFonts w:ascii="Arial" w:hAnsi="Arial" w:cs="Arial"/>
                <w:b/>
              </w:rPr>
            </w:pPr>
          </w:p>
        </w:tc>
        <w:tc>
          <w:tcPr>
            <w:tcW w:w="1584" w:type="dxa"/>
            <w:tcBorders>
              <w:top w:val="nil"/>
              <w:left w:val="nil"/>
              <w:bottom w:val="nil"/>
              <w:right w:val="nil"/>
            </w:tcBorders>
            <w:vAlign w:val="bottom"/>
          </w:tcPr>
          <w:p w:rsidR="00000000" w:rsidRDefault="00A74D1C">
            <w:pPr>
              <w:rPr>
                <w:rFonts w:ascii="Arial" w:hAnsi="Arial" w:cs="Arial"/>
                <w:b/>
              </w:rPr>
            </w:pPr>
          </w:p>
          <w:p w:rsidR="00000000" w:rsidRDefault="00A74D1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74D1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74D1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74D1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74D1C">
            <w:pPr>
              <w:rPr>
                <w:rFonts w:ascii="Arial" w:hAnsi="Arial" w:cs="Arial"/>
                <w:b/>
              </w:rPr>
            </w:pPr>
          </w:p>
        </w:tc>
        <w:tc>
          <w:tcPr>
            <w:tcW w:w="1728" w:type="dxa"/>
            <w:tcBorders>
              <w:top w:val="nil"/>
              <w:left w:val="nil"/>
              <w:bottom w:val="nil"/>
              <w:right w:val="nil"/>
            </w:tcBorders>
            <w:vAlign w:val="bottom"/>
            <w:hideMark/>
          </w:tcPr>
          <w:p w:rsidR="00000000" w:rsidRDefault="00A74D1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74D1C">
            <w:pPr>
              <w:rPr>
                <w:rFonts w:ascii="Arial" w:hAnsi="Arial" w:cs="Arial"/>
                <w:b/>
              </w:rPr>
            </w:pPr>
          </w:p>
        </w:tc>
        <w:tc>
          <w:tcPr>
            <w:tcW w:w="1584" w:type="dxa"/>
            <w:tcBorders>
              <w:top w:val="nil"/>
              <w:left w:val="nil"/>
              <w:bottom w:val="nil"/>
              <w:right w:val="nil"/>
            </w:tcBorders>
            <w:vAlign w:val="bottom"/>
          </w:tcPr>
          <w:p w:rsidR="00000000" w:rsidRDefault="00A74D1C">
            <w:pPr>
              <w:pStyle w:val="Heading1"/>
              <w:jc w:val="left"/>
              <w:rPr>
                <w:rFonts w:cs="Arial"/>
                <w:szCs w:val="24"/>
              </w:rPr>
            </w:pPr>
          </w:p>
        </w:tc>
        <w:tc>
          <w:tcPr>
            <w:tcW w:w="720" w:type="dxa"/>
            <w:tcBorders>
              <w:top w:val="nil"/>
              <w:left w:val="nil"/>
              <w:bottom w:val="nil"/>
              <w:right w:val="nil"/>
            </w:tcBorders>
            <w:vAlign w:val="bottom"/>
          </w:tcPr>
          <w:p w:rsidR="00000000" w:rsidRDefault="00A74D1C">
            <w:pPr>
              <w:rPr>
                <w:rFonts w:ascii="Arial" w:hAnsi="Arial" w:cs="Arial"/>
                <w:b/>
              </w:rPr>
            </w:pPr>
          </w:p>
        </w:tc>
      </w:tr>
    </w:tbl>
    <w:p w:rsidR="00000000" w:rsidRDefault="00A74D1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74D1C">
      <w:pPr>
        <w:rPr>
          <w:rFonts w:ascii="Arial" w:hAnsi="Arial" w:cs="Arial"/>
          <w:b/>
        </w:rPr>
      </w:pPr>
    </w:p>
    <w:p w:rsidR="00000000" w:rsidRDefault="00A74D1C">
      <w:pPr>
        <w:rPr>
          <w:rFonts w:ascii="Arial" w:hAnsi="Arial" w:cs="Arial"/>
          <w:b/>
        </w:rPr>
      </w:pPr>
      <w:r>
        <w:rPr>
          <w:rFonts w:ascii="Arial" w:hAnsi="Arial" w:cs="Arial"/>
          <w:b/>
        </w:rPr>
        <w:t>Title:</w:t>
      </w:r>
    </w:p>
    <w:p w:rsidR="00000000" w:rsidRDefault="00A74D1C">
      <w:pPr>
        <w:pStyle w:val="NormalWeb"/>
        <w:rPr>
          <w:rFonts w:ascii="Arial" w:hAnsi="Arial" w:cs="Arial"/>
        </w:rPr>
      </w:pPr>
      <w:r>
        <w:rPr>
          <w:rFonts w:ascii="Arial" w:hAnsi="Arial" w:cs="Arial"/>
        </w:rPr>
        <w:t>PSC 2 - Recommendations from Issue 2014 II-003</w:t>
      </w:r>
    </w:p>
    <w:p w:rsidR="00000000" w:rsidRDefault="00A74D1C">
      <w:pPr>
        <w:rPr>
          <w:rFonts w:ascii="Arial" w:eastAsia="Times New Roman" w:hAnsi="Arial" w:cs="Arial"/>
        </w:rPr>
      </w:pPr>
    </w:p>
    <w:p w:rsidR="00000000" w:rsidRDefault="00A74D1C">
      <w:pPr>
        <w:rPr>
          <w:rFonts w:ascii="Arial" w:hAnsi="Arial" w:cs="Arial"/>
          <w:b/>
        </w:rPr>
      </w:pPr>
      <w:r>
        <w:rPr>
          <w:rFonts w:ascii="Arial" w:hAnsi="Arial" w:cs="Arial"/>
          <w:b/>
        </w:rPr>
        <w:t>Recommended Solution: The Conference recommends...:</w:t>
      </w:r>
    </w:p>
    <w:p w:rsidR="00000000" w:rsidRDefault="00A74D1C">
      <w:pPr>
        <w:pStyle w:val="NormalWeb"/>
        <w:rPr>
          <w:rFonts w:ascii="Arial" w:hAnsi="Arial" w:cs="Arial"/>
        </w:rPr>
      </w:pPr>
      <w:r>
        <w:rPr>
          <w:rFonts w:ascii="Arial" w:hAnsi="Arial" w:cs="Arial"/>
        </w:rPr>
        <w:t>that a letter be sent to the FDA requesting that they:</w:t>
      </w:r>
    </w:p>
    <w:p w:rsidR="00000000" w:rsidRDefault="00A74D1C">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 a Voluntary National Retai</w:t>
      </w:r>
      <w:r>
        <w:rPr>
          <w:rFonts w:ascii="Arial" w:eastAsia="Times New Roman" w:hAnsi="Arial" w:cs="Arial"/>
        </w:rPr>
        <w:t>l Food Regulatory Program Standards (Retail Program Standards) guide or template to help regulatory agencies to enroll in the Retail Program Standards, realize what they are getting involved in prior to enrollment, provide recommendations about where an en</w:t>
      </w:r>
      <w:r>
        <w:rPr>
          <w:rFonts w:ascii="Arial" w:eastAsia="Times New Roman" w:hAnsi="Arial" w:cs="Arial"/>
        </w:rPr>
        <w:t>rollee should begin, and provide a roadmap to allow management to plan for proper staffing and resources to actually complete and sustain the activities associated with the Retail Program Standards;</w:t>
      </w:r>
    </w:p>
    <w:p w:rsidR="00000000" w:rsidRDefault="00A74D1C">
      <w:pPr>
        <w:numPr>
          <w:ilvl w:val="0"/>
          <w:numId w:val="1"/>
        </w:numPr>
        <w:spacing w:before="100" w:beforeAutospacing="1" w:after="100" w:afterAutospacing="1"/>
        <w:rPr>
          <w:rFonts w:ascii="Arial" w:eastAsia="Times New Roman" w:hAnsi="Arial" w:cs="Arial"/>
        </w:rPr>
      </w:pPr>
      <w:r>
        <w:rPr>
          <w:rFonts w:ascii="Arial" w:eastAsia="Times New Roman" w:hAnsi="Arial" w:cs="Arial"/>
        </w:rPr>
        <w:t>Reward achievement of the Retail Program Standards by giv</w:t>
      </w:r>
      <w:r>
        <w:rPr>
          <w:rFonts w:ascii="Arial" w:eastAsia="Times New Roman" w:hAnsi="Arial" w:cs="Arial"/>
        </w:rPr>
        <w:t>ing extra credit during the application review and scoring process for FDA grants;</w:t>
      </w:r>
    </w:p>
    <w:p w:rsidR="00000000" w:rsidRDefault="00A74D1C">
      <w:pPr>
        <w:numPr>
          <w:ilvl w:val="0"/>
          <w:numId w:val="1"/>
        </w:numPr>
        <w:spacing w:before="100" w:beforeAutospacing="1" w:after="100" w:afterAutospacing="1"/>
        <w:rPr>
          <w:rFonts w:ascii="Arial" w:eastAsia="Times New Roman" w:hAnsi="Arial" w:cs="Arial"/>
        </w:rPr>
      </w:pPr>
      <w:r>
        <w:rPr>
          <w:rFonts w:ascii="Arial" w:eastAsia="Times New Roman" w:hAnsi="Arial" w:cs="Arial"/>
        </w:rPr>
        <w:t>Establish additional formal networks to complement the existing NACCHO Program Standards Mentorship Program (e.g., workgroups in each state or by FDA region with routinely s</w:t>
      </w:r>
      <w:r>
        <w:rPr>
          <w:rFonts w:ascii="Arial" w:eastAsia="Times New Roman" w:hAnsi="Arial" w:cs="Arial"/>
        </w:rPr>
        <w:t>cheduled webinars, conference calls, etc.) to assist regulatory agencies in their efforts with the Retail Program Standards;</w:t>
      </w:r>
    </w:p>
    <w:p w:rsidR="00000000" w:rsidRDefault="00A74D1C">
      <w:pPr>
        <w:numPr>
          <w:ilvl w:val="0"/>
          <w:numId w:val="1"/>
        </w:numPr>
        <w:spacing w:before="100" w:beforeAutospacing="1" w:after="100" w:afterAutospacing="1"/>
        <w:rPr>
          <w:rFonts w:ascii="Arial" w:eastAsia="Times New Roman" w:hAnsi="Arial" w:cs="Arial"/>
        </w:rPr>
      </w:pPr>
      <w:r>
        <w:rPr>
          <w:rFonts w:ascii="Arial" w:eastAsia="Times New Roman" w:hAnsi="Arial" w:cs="Arial"/>
        </w:rPr>
        <w:t>Seek the expansion of existing forums (e.g., NACCHO sharing sessions, NEHA AEC Retail Program Standards Workshop, and cooperative a</w:t>
      </w:r>
      <w:r>
        <w:rPr>
          <w:rFonts w:ascii="Arial" w:eastAsia="Times New Roman" w:hAnsi="Arial" w:cs="Arial"/>
        </w:rPr>
        <w:t>greements with NACCHO and AFDO, etc.) for enrollees to share their success stories with the Retail Program Standards;</w:t>
      </w:r>
    </w:p>
    <w:p w:rsidR="00000000" w:rsidRDefault="00A74D1C">
      <w:pPr>
        <w:numPr>
          <w:ilvl w:val="0"/>
          <w:numId w:val="1"/>
        </w:numPr>
        <w:spacing w:before="100" w:beforeAutospacing="1" w:after="100" w:afterAutospacing="1"/>
        <w:rPr>
          <w:rFonts w:ascii="Arial" w:eastAsia="Times New Roman" w:hAnsi="Arial" w:cs="Arial"/>
        </w:rPr>
      </w:pPr>
      <w:r>
        <w:rPr>
          <w:rFonts w:ascii="Arial" w:eastAsia="Times New Roman" w:hAnsi="Arial" w:cs="Arial"/>
        </w:rPr>
        <w:t>Engage in a promotion of the FoodSHIELD Program Standards Resource Center when it goes live; and</w:t>
      </w:r>
    </w:p>
    <w:p w:rsidR="00000000" w:rsidRDefault="00A74D1C">
      <w:pPr>
        <w:numPr>
          <w:ilvl w:val="0"/>
          <w:numId w:val="1"/>
        </w:numPr>
        <w:spacing w:before="100" w:beforeAutospacing="1" w:after="100" w:afterAutospacing="1"/>
        <w:rPr>
          <w:rFonts w:ascii="Arial" w:eastAsia="Times New Roman" w:hAnsi="Arial" w:cs="Arial"/>
        </w:rPr>
      </w:pPr>
      <w:r>
        <w:rPr>
          <w:rFonts w:ascii="Arial" w:eastAsia="Times New Roman" w:hAnsi="Arial" w:cs="Arial"/>
        </w:rPr>
        <w:t>Provide a means to ensure that each of th</w:t>
      </w:r>
      <w:r>
        <w:rPr>
          <w:rFonts w:ascii="Arial" w:eastAsia="Times New Roman" w:hAnsi="Arial" w:cs="Arial"/>
        </w:rPr>
        <w:t>e FDA Regional Retail Food Specialists has a minimum level of knowledge regarding implementation of the Retail Program Standards.</w:t>
      </w:r>
    </w:p>
    <w:p w:rsidR="00000000" w:rsidRDefault="00A74D1C">
      <w:pPr>
        <w:rPr>
          <w:rFonts w:ascii="Arial" w:eastAsia="Times New Roman" w:hAnsi="Arial" w:cs="Arial"/>
        </w:rPr>
      </w:pPr>
    </w:p>
    <w:p w:rsidR="00000000" w:rsidRDefault="00A74D1C">
      <w:pPr>
        <w:rPr>
          <w:rFonts w:ascii="Arial" w:hAnsi="Arial" w:cs="Arial"/>
          <w:b/>
        </w:rPr>
      </w:pPr>
    </w:p>
    <w:p w:rsidR="00000000" w:rsidRDefault="00A74D1C">
      <w:pPr>
        <w:jc w:val="center"/>
        <w:rPr>
          <w:rFonts w:ascii="Arial" w:hAnsi="Arial" w:cs="Arial"/>
          <w:sz w:val="20"/>
          <w:szCs w:val="20"/>
        </w:rPr>
      </w:pPr>
      <w:r>
        <w:rPr>
          <w:rStyle w:val="Emphasis"/>
          <w:rFonts w:ascii="Arial" w:hAnsi="Arial" w:cs="Arial"/>
          <w:sz w:val="20"/>
          <w:szCs w:val="20"/>
        </w:rPr>
        <w:t xml:space="preserve">It is the policy of the Conference for Food Protection to not accept Issues that would endorse a brand name or a commercial </w:t>
      </w:r>
      <w:r>
        <w:rPr>
          <w:rStyle w:val="Emphasis"/>
          <w:rFonts w:ascii="Arial" w:hAnsi="Arial" w:cs="Arial"/>
          <w:sz w:val="20"/>
          <w:szCs w:val="20"/>
        </w:rPr>
        <w:t>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C4"/>
    <w:multiLevelType w:val="multilevel"/>
    <w:tmpl w:val="ED64A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74D1C"/>
    <w:rsid w:val="00A7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Company>Conference for Food Safety</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