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7BE1">
      <w:pPr>
        <w:jc w:val="center"/>
        <w:rPr>
          <w:rFonts w:ascii="Arial" w:hAnsi="Arial" w:cs="Arial"/>
          <w:b/>
        </w:rPr>
      </w:pPr>
      <w:bookmarkStart w:id="0" w:name="_GoBack"/>
      <w:bookmarkEnd w:id="0"/>
      <w:r>
        <w:rPr>
          <w:rFonts w:ascii="Arial" w:hAnsi="Arial" w:cs="Arial"/>
          <w:b/>
        </w:rPr>
        <w:t>Conference for Food Protection</w:t>
      </w:r>
    </w:p>
    <w:p w:rsidR="00000000" w:rsidRDefault="00827BE1">
      <w:pPr>
        <w:jc w:val="center"/>
        <w:rPr>
          <w:rFonts w:ascii="Arial" w:hAnsi="Arial" w:cs="Arial"/>
          <w:b/>
        </w:rPr>
      </w:pPr>
      <w:r>
        <w:rPr>
          <w:rFonts w:ascii="Arial" w:hAnsi="Arial" w:cs="Arial"/>
          <w:b/>
        </w:rPr>
        <w:t>2016 Issue Form</w:t>
      </w:r>
    </w:p>
    <w:p w:rsidR="00000000" w:rsidRDefault="00827BE1">
      <w:pPr>
        <w:rPr>
          <w:rFonts w:ascii="Arial" w:hAnsi="Arial" w:cs="Arial"/>
          <w:b/>
        </w:rPr>
      </w:pPr>
    </w:p>
    <w:p w:rsidR="00000000" w:rsidRDefault="00827BE1">
      <w:pPr>
        <w:jc w:val="right"/>
        <w:rPr>
          <w:rFonts w:ascii="Arial" w:hAnsi="Arial" w:cs="Arial"/>
          <w:b/>
        </w:rPr>
      </w:pPr>
      <w:r>
        <w:rPr>
          <w:rFonts w:ascii="Arial" w:hAnsi="Arial" w:cs="Arial"/>
          <w:b/>
        </w:rPr>
        <w:t>Issue: 2016 II-006</w:t>
      </w:r>
    </w:p>
    <w:p w:rsidR="00000000" w:rsidRDefault="00827B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27BE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27BE1">
            <w:pPr>
              <w:rPr>
                <w:rFonts w:ascii="Arial" w:hAnsi="Arial" w:cs="Arial"/>
              </w:rPr>
            </w:pPr>
            <w:r>
              <w:rPr>
                <w:rFonts w:ascii="Arial" w:hAnsi="Arial" w:cs="Arial"/>
              </w:rPr>
              <w:t>Accepted as</w:t>
            </w:r>
          </w:p>
          <w:p w:rsidR="00000000" w:rsidRDefault="00827BE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27BE1">
            <w:pPr>
              <w:rPr>
                <w:rFonts w:ascii="Arial" w:hAnsi="Arial" w:cs="Arial"/>
                <w:b/>
              </w:rPr>
            </w:pPr>
          </w:p>
        </w:tc>
        <w:tc>
          <w:tcPr>
            <w:tcW w:w="1728" w:type="dxa"/>
            <w:tcBorders>
              <w:top w:val="nil"/>
              <w:left w:val="nil"/>
              <w:bottom w:val="nil"/>
              <w:right w:val="nil"/>
            </w:tcBorders>
            <w:vAlign w:val="bottom"/>
            <w:hideMark/>
          </w:tcPr>
          <w:p w:rsidR="00000000" w:rsidRDefault="00827BE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27BE1">
            <w:pPr>
              <w:rPr>
                <w:rFonts w:ascii="Arial" w:hAnsi="Arial" w:cs="Arial"/>
                <w:b/>
              </w:rPr>
            </w:pPr>
          </w:p>
        </w:tc>
        <w:tc>
          <w:tcPr>
            <w:tcW w:w="1584" w:type="dxa"/>
            <w:tcBorders>
              <w:top w:val="nil"/>
              <w:left w:val="nil"/>
              <w:bottom w:val="nil"/>
              <w:right w:val="nil"/>
            </w:tcBorders>
            <w:vAlign w:val="bottom"/>
          </w:tcPr>
          <w:p w:rsidR="00000000" w:rsidRDefault="00827BE1">
            <w:pPr>
              <w:rPr>
                <w:rFonts w:ascii="Arial" w:hAnsi="Arial" w:cs="Arial"/>
                <w:b/>
              </w:rPr>
            </w:pPr>
          </w:p>
          <w:p w:rsidR="00000000" w:rsidRDefault="00827BE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27BE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27BE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27BE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27BE1">
            <w:pPr>
              <w:rPr>
                <w:rFonts w:ascii="Arial" w:hAnsi="Arial" w:cs="Arial"/>
                <w:b/>
              </w:rPr>
            </w:pPr>
          </w:p>
        </w:tc>
        <w:tc>
          <w:tcPr>
            <w:tcW w:w="1728" w:type="dxa"/>
            <w:tcBorders>
              <w:top w:val="nil"/>
              <w:left w:val="nil"/>
              <w:bottom w:val="nil"/>
              <w:right w:val="nil"/>
            </w:tcBorders>
            <w:vAlign w:val="bottom"/>
            <w:hideMark/>
          </w:tcPr>
          <w:p w:rsidR="00000000" w:rsidRDefault="00827BE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27BE1">
            <w:pPr>
              <w:rPr>
                <w:rFonts w:ascii="Arial" w:hAnsi="Arial" w:cs="Arial"/>
                <w:b/>
              </w:rPr>
            </w:pPr>
          </w:p>
        </w:tc>
        <w:tc>
          <w:tcPr>
            <w:tcW w:w="1584" w:type="dxa"/>
            <w:tcBorders>
              <w:top w:val="nil"/>
              <w:left w:val="nil"/>
              <w:bottom w:val="nil"/>
              <w:right w:val="nil"/>
            </w:tcBorders>
            <w:vAlign w:val="bottom"/>
          </w:tcPr>
          <w:p w:rsidR="00000000" w:rsidRDefault="00827BE1">
            <w:pPr>
              <w:pStyle w:val="Heading1"/>
              <w:jc w:val="left"/>
              <w:rPr>
                <w:rFonts w:cs="Arial"/>
                <w:szCs w:val="24"/>
              </w:rPr>
            </w:pPr>
          </w:p>
        </w:tc>
        <w:tc>
          <w:tcPr>
            <w:tcW w:w="720" w:type="dxa"/>
            <w:tcBorders>
              <w:top w:val="nil"/>
              <w:left w:val="nil"/>
              <w:bottom w:val="nil"/>
              <w:right w:val="nil"/>
            </w:tcBorders>
            <w:vAlign w:val="bottom"/>
          </w:tcPr>
          <w:p w:rsidR="00000000" w:rsidRDefault="00827BE1">
            <w:pPr>
              <w:rPr>
                <w:rFonts w:ascii="Arial" w:hAnsi="Arial" w:cs="Arial"/>
                <w:b/>
              </w:rPr>
            </w:pPr>
          </w:p>
        </w:tc>
      </w:tr>
    </w:tbl>
    <w:p w:rsidR="00000000" w:rsidRDefault="00827BE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27BE1">
      <w:pPr>
        <w:rPr>
          <w:rFonts w:ascii="Arial" w:hAnsi="Arial" w:cs="Arial"/>
          <w:b/>
        </w:rPr>
      </w:pPr>
    </w:p>
    <w:p w:rsidR="00000000" w:rsidRDefault="00827BE1">
      <w:pPr>
        <w:rPr>
          <w:rFonts w:ascii="Arial" w:hAnsi="Arial" w:cs="Arial"/>
          <w:b/>
        </w:rPr>
      </w:pPr>
      <w:r>
        <w:rPr>
          <w:rFonts w:ascii="Arial" w:hAnsi="Arial" w:cs="Arial"/>
          <w:b/>
        </w:rPr>
        <w:t>Issue History:</w:t>
      </w:r>
    </w:p>
    <w:p w:rsidR="00000000" w:rsidRDefault="00827BE1">
      <w:pPr>
        <w:pStyle w:val="NormalWeb"/>
        <w:rPr>
          <w:rFonts w:ascii="Arial" w:hAnsi="Arial" w:cs="Arial"/>
        </w:rPr>
      </w:pPr>
      <w:r>
        <w:rPr>
          <w:rFonts w:ascii="Arial" w:hAnsi="Arial" w:cs="Arial"/>
        </w:rPr>
        <w:t>This is a brand new Issue.</w:t>
      </w:r>
    </w:p>
    <w:p w:rsidR="00000000" w:rsidRDefault="00827BE1">
      <w:pPr>
        <w:rPr>
          <w:rFonts w:ascii="Arial" w:eastAsia="Times New Roman" w:hAnsi="Arial" w:cs="Arial"/>
        </w:rPr>
      </w:pPr>
    </w:p>
    <w:p w:rsidR="00000000" w:rsidRDefault="00827BE1">
      <w:pPr>
        <w:rPr>
          <w:rFonts w:ascii="Arial" w:hAnsi="Arial" w:cs="Arial"/>
          <w:b/>
        </w:rPr>
      </w:pPr>
      <w:r>
        <w:rPr>
          <w:rFonts w:ascii="Arial" w:hAnsi="Arial" w:cs="Arial"/>
          <w:b/>
        </w:rPr>
        <w:t>Title:</w:t>
      </w:r>
    </w:p>
    <w:p w:rsidR="00000000" w:rsidRDefault="00827BE1">
      <w:pPr>
        <w:pStyle w:val="NormalWeb"/>
        <w:rPr>
          <w:rFonts w:ascii="Arial" w:hAnsi="Arial" w:cs="Arial"/>
        </w:rPr>
      </w:pPr>
      <w:r>
        <w:rPr>
          <w:rFonts w:ascii="Arial" w:hAnsi="Arial" w:cs="Arial"/>
        </w:rPr>
        <w:t>Report – Program Standards Committee (PSC)</w:t>
      </w:r>
    </w:p>
    <w:p w:rsidR="00000000" w:rsidRDefault="00827BE1">
      <w:pPr>
        <w:rPr>
          <w:rFonts w:ascii="Arial" w:eastAsia="Times New Roman" w:hAnsi="Arial" w:cs="Arial"/>
        </w:rPr>
      </w:pPr>
    </w:p>
    <w:p w:rsidR="00000000" w:rsidRDefault="00827BE1">
      <w:pPr>
        <w:rPr>
          <w:rFonts w:ascii="Arial" w:hAnsi="Arial" w:cs="Arial"/>
          <w:b/>
        </w:rPr>
      </w:pPr>
      <w:r>
        <w:rPr>
          <w:rFonts w:ascii="Arial" w:hAnsi="Arial" w:cs="Arial"/>
          <w:b/>
        </w:rPr>
        <w:t>Issue you would like the Conference to consider:</w:t>
      </w:r>
    </w:p>
    <w:p w:rsidR="00000000" w:rsidRDefault="00827BE1">
      <w:pPr>
        <w:pStyle w:val="NormalWeb"/>
        <w:rPr>
          <w:rFonts w:ascii="Arial" w:hAnsi="Arial" w:cs="Arial"/>
        </w:rPr>
      </w:pPr>
      <w:r>
        <w:rPr>
          <w:rFonts w:ascii="Arial" w:hAnsi="Arial" w:cs="Arial"/>
        </w:rPr>
        <w:t>The Conference for Food Protection (CFP) Program Stan</w:t>
      </w:r>
      <w:r>
        <w:rPr>
          <w:rFonts w:ascii="Arial" w:hAnsi="Arial" w:cs="Arial"/>
        </w:rPr>
        <w:t>dards Committee seeks Council II's acknowledgment of the committee's final report.</w:t>
      </w:r>
    </w:p>
    <w:p w:rsidR="00000000" w:rsidRDefault="00827BE1">
      <w:pPr>
        <w:rPr>
          <w:rFonts w:ascii="Arial" w:eastAsia="Times New Roman" w:hAnsi="Arial" w:cs="Arial"/>
        </w:rPr>
      </w:pPr>
    </w:p>
    <w:p w:rsidR="00000000" w:rsidRDefault="00827BE1">
      <w:pPr>
        <w:rPr>
          <w:rFonts w:ascii="Arial" w:hAnsi="Arial" w:cs="Arial"/>
          <w:b/>
        </w:rPr>
      </w:pPr>
      <w:r>
        <w:rPr>
          <w:rFonts w:ascii="Arial" w:hAnsi="Arial" w:cs="Arial"/>
          <w:b/>
        </w:rPr>
        <w:t>Public Health Significance:</w:t>
      </w:r>
    </w:p>
    <w:p w:rsidR="00000000" w:rsidRDefault="00827BE1">
      <w:pPr>
        <w:pStyle w:val="NormalWeb"/>
        <w:rPr>
          <w:rFonts w:ascii="Arial" w:hAnsi="Arial" w:cs="Arial"/>
        </w:rPr>
      </w:pPr>
      <w:r>
        <w:rPr>
          <w:rFonts w:ascii="Arial" w:hAnsi="Arial" w:cs="Arial"/>
        </w:rPr>
        <w:t>The Voluntary National Retail Food Regulatory Program Standards (Retail Program Standards) were developed to serve as a guide for regulatory ret</w:t>
      </w:r>
      <w:r>
        <w:rPr>
          <w:rFonts w:ascii="Arial" w:hAnsi="Arial" w:cs="Arial"/>
        </w:rPr>
        <w:t>ail food program managers in the design, management, and execution of a retail food program with the public health outcome of reducing foodborne illness risk factors. The Program Standards Committee is a standing committee reporting to the CFP Executive Bo</w:t>
      </w:r>
      <w:r>
        <w:rPr>
          <w:rFonts w:ascii="Arial" w:hAnsi="Arial" w:cs="Arial"/>
        </w:rPr>
        <w:t>ard. The Committee provides ongoing input to the FDA on issues that arise with the Retail Program Standards. The Committee serves the Conference by indirectly assisting Retail Program Standards enrollees in making progress towards meeting the Retail Progra</w:t>
      </w:r>
      <w:r>
        <w:rPr>
          <w:rFonts w:ascii="Arial" w:hAnsi="Arial" w:cs="Arial"/>
        </w:rPr>
        <w:t>m Standards. The Committee continues to work with the FDA internal Program Standards working group and the FDA Clearinghouse Workgroup to clarify and address issues that arise with the Retail Program Standards.</w:t>
      </w:r>
    </w:p>
    <w:p w:rsidR="00000000" w:rsidRDefault="00827BE1">
      <w:pPr>
        <w:rPr>
          <w:rFonts w:ascii="Arial" w:eastAsia="Times New Roman" w:hAnsi="Arial" w:cs="Arial"/>
        </w:rPr>
      </w:pPr>
    </w:p>
    <w:p w:rsidR="00000000" w:rsidRDefault="00827BE1">
      <w:pPr>
        <w:rPr>
          <w:rFonts w:ascii="Arial" w:hAnsi="Arial" w:cs="Arial"/>
          <w:b/>
        </w:rPr>
      </w:pPr>
      <w:r>
        <w:rPr>
          <w:rFonts w:ascii="Arial" w:hAnsi="Arial" w:cs="Arial"/>
          <w:b/>
        </w:rPr>
        <w:t>Recommended Solution: The Conference recomme</w:t>
      </w:r>
      <w:r>
        <w:rPr>
          <w:rFonts w:ascii="Arial" w:hAnsi="Arial" w:cs="Arial"/>
          <w:b/>
        </w:rPr>
        <w:t>nds...:</w:t>
      </w:r>
    </w:p>
    <w:p w:rsidR="00000000" w:rsidRDefault="00827BE1">
      <w:pPr>
        <w:numPr>
          <w:ilvl w:val="0"/>
          <w:numId w:val="1"/>
        </w:numPr>
        <w:spacing w:before="100" w:beforeAutospacing="1" w:after="100" w:afterAutospacing="1"/>
        <w:rPr>
          <w:rFonts w:ascii="Arial" w:eastAsia="Times New Roman" w:hAnsi="Arial" w:cs="Arial"/>
        </w:rPr>
      </w:pPr>
      <w:r>
        <w:rPr>
          <w:rFonts w:ascii="Arial" w:eastAsia="Times New Roman" w:hAnsi="Arial" w:cs="Arial"/>
        </w:rPr>
        <w:t>Acknowledgment of the 2014 - 2016 Program Standards Committee Final Report, and</w:t>
      </w:r>
    </w:p>
    <w:p w:rsidR="00000000" w:rsidRDefault="00827BE1">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Thanking the Committee members for their work and dedication during the 2014 - 2016 biennium.</w:t>
      </w:r>
    </w:p>
    <w:p w:rsidR="00000000" w:rsidRDefault="00827BE1">
      <w:pPr>
        <w:rPr>
          <w:rFonts w:ascii="Arial" w:eastAsia="Times New Roman" w:hAnsi="Arial" w:cs="Arial"/>
        </w:rPr>
      </w:pPr>
    </w:p>
    <w:p w:rsidR="00000000" w:rsidRDefault="00827BE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1"/>
        <w:gridCol w:w="386"/>
        <w:gridCol w:w="386"/>
      </w:tblGrid>
      <w:tr w:rsidR="00000000">
        <w:tc>
          <w:tcPr>
            <w:tcW w:w="1817" w:type="dxa"/>
            <w:hideMark/>
          </w:tcPr>
          <w:p w:rsidR="00000000" w:rsidRDefault="00827BE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27BE1">
            <w:pPr>
              <w:widowControl w:val="0"/>
              <w:rPr>
                <w:rFonts w:ascii="Arial" w:hAnsi="Arial" w:cs="Arial"/>
              </w:rPr>
            </w:pPr>
            <w:r>
              <w:rPr>
                <w:rFonts w:ascii="Arial" w:hAnsi="Arial" w:cs="Arial"/>
              </w:rPr>
              <w:t>David Lawrence, Chair</w:t>
            </w:r>
          </w:p>
        </w:tc>
      </w:tr>
      <w:tr w:rsidR="00000000">
        <w:tc>
          <w:tcPr>
            <w:tcW w:w="1817" w:type="dxa"/>
            <w:hideMark/>
          </w:tcPr>
          <w:p w:rsidR="00000000" w:rsidRDefault="00827BE1">
            <w:pPr>
              <w:widowControl w:val="0"/>
              <w:rPr>
                <w:rFonts w:ascii="Arial" w:hAnsi="Arial" w:cs="Arial"/>
              </w:rPr>
            </w:pPr>
            <w:r>
              <w:rPr>
                <w:rFonts w:ascii="Arial" w:hAnsi="Arial" w:cs="Arial"/>
              </w:rPr>
              <w:t xml:space="preserve">Organization:  </w:t>
            </w:r>
          </w:p>
        </w:tc>
        <w:tc>
          <w:tcPr>
            <w:tcW w:w="7723" w:type="dxa"/>
            <w:gridSpan w:val="3"/>
            <w:hideMark/>
          </w:tcPr>
          <w:p w:rsidR="00000000" w:rsidRDefault="00827BE1">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827BE1">
            <w:pPr>
              <w:widowControl w:val="0"/>
              <w:rPr>
                <w:rFonts w:ascii="Arial" w:hAnsi="Arial" w:cs="Arial"/>
              </w:rPr>
            </w:pPr>
            <w:r>
              <w:rPr>
                <w:rFonts w:ascii="Arial" w:hAnsi="Arial" w:cs="Arial"/>
              </w:rPr>
              <w:t>Address:</w:t>
            </w:r>
          </w:p>
        </w:tc>
        <w:tc>
          <w:tcPr>
            <w:tcW w:w="7723" w:type="dxa"/>
            <w:gridSpan w:val="3"/>
            <w:hideMark/>
          </w:tcPr>
          <w:p w:rsidR="00000000" w:rsidRDefault="00827BE1">
            <w:pPr>
              <w:widowControl w:val="0"/>
              <w:rPr>
                <w:rFonts w:ascii="Arial" w:hAnsi="Arial" w:cs="Arial"/>
              </w:rPr>
            </w:pPr>
            <w:r>
              <w:rPr>
                <w:rFonts w:ascii="Arial" w:hAnsi="Arial" w:cs="Arial"/>
              </w:rPr>
              <w:t>Fairfax County Health Department10777 Main Street, Suite 111</w:t>
            </w:r>
          </w:p>
        </w:tc>
      </w:tr>
      <w:tr w:rsidR="00000000">
        <w:tc>
          <w:tcPr>
            <w:tcW w:w="1817" w:type="dxa"/>
            <w:hideMark/>
          </w:tcPr>
          <w:p w:rsidR="00000000" w:rsidRDefault="00827BE1">
            <w:pPr>
              <w:widowControl w:val="0"/>
              <w:rPr>
                <w:rFonts w:ascii="Arial" w:hAnsi="Arial" w:cs="Arial"/>
              </w:rPr>
            </w:pPr>
            <w:r>
              <w:rPr>
                <w:rFonts w:ascii="Arial" w:hAnsi="Arial" w:cs="Arial"/>
              </w:rPr>
              <w:t>City/State/Zip:</w:t>
            </w:r>
          </w:p>
        </w:tc>
        <w:tc>
          <w:tcPr>
            <w:tcW w:w="7723" w:type="dxa"/>
            <w:gridSpan w:val="3"/>
            <w:hideMark/>
          </w:tcPr>
          <w:p w:rsidR="00000000" w:rsidRDefault="00827BE1">
            <w:pPr>
              <w:widowControl w:val="0"/>
              <w:rPr>
                <w:rFonts w:ascii="Arial" w:hAnsi="Arial" w:cs="Arial"/>
              </w:rPr>
            </w:pPr>
            <w:r>
              <w:rPr>
                <w:rFonts w:ascii="Arial" w:hAnsi="Arial" w:cs="Arial"/>
              </w:rPr>
              <w:t>Fairfax, VA 22030</w:t>
            </w:r>
          </w:p>
        </w:tc>
      </w:tr>
      <w:tr w:rsidR="00000000">
        <w:trPr>
          <w:trHeight w:val="260"/>
        </w:trPr>
        <w:tc>
          <w:tcPr>
            <w:tcW w:w="1817" w:type="dxa"/>
            <w:hideMark/>
          </w:tcPr>
          <w:p w:rsidR="00000000" w:rsidRDefault="00827BE1">
            <w:pPr>
              <w:widowControl w:val="0"/>
              <w:rPr>
                <w:rFonts w:ascii="Arial" w:hAnsi="Arial" w:cs="Arial"/>
              </w:rPr>
            </w:pPr>
            <w:r>
              <w:rPr>
                <w:rFonts w:ascii="Arial" w:hAnsi="Arial" w:cs="Arial"/>
              </w:rPr>
              <w:t>Telephone:</w:t>
            </w:r>
          </w:p>
        </w:tc>
        <w:tc>
          <w:tcPr>
            <w:tcW w:w="1963" w:type="dxa"/>
            <w:hideMark/>
          </w:tcPr>
          <w:p w:rsidR="00000000" w:rsidRDefault="00827BE1">
            <w:pPr>
              <w:widowControl w:val="0"/>
              <w:rPr>
                <w:rFonts w:ascii="Arial" w:hAnsi="Arial" w:cs="Arial"/>
              </w:rPr>
            </w:pPr>
            <w:r>
              <w:rPr>
                <w:rFonts w:ascii="Arial" w:hAnsi="Arial" w:cs="Arial"/>
              </w:rPr>
              <w:t>(703) 246-8435</w:t>
            </w:r>
          </w:p>
        </w:tc>
        <w:tc>
          <w:tcPr>
            <w:tcW w:w="0" w:type="auto"/>
            <w:vAlign w:val="center"/>
            <w:hideMark/>
          </w:tcPr>
          <w:p w:rsidR="00000000" w:rsidRDefault="00827BE1">
            <w:pPr>
              <w:rPr>
                <w:rFonts w:eastAsia="Times New Roman"/>
                <w:sz w:val="20"/>
                <w:szCs w:val="20"/>
              </w:rPr>
            </w:pPr>
          </w:p>
        </w:tc>
        <w:tc>
          <w:tcPr>
            <w:tcW w:w="0" w:type="auto"/>
            <w:vAlign w:val="center"/>
            <w:hideMark/>
          </w:tcPr>
          <w:p w:rsidR="00000000" w:rsidRDefault="00827BE1">
            <w:pPr>
              <w:rPr>
                <w:rFonts w:eastAsia="Times New Roman"/>
                <w:sz w:val="20"/>
                <w:szCs w:val="20"/>
              </w:rPr>
            </w:pPr>
          </w:p>
        </w:tc>
      </w:tr>
      <w:tr w:rsidR="00000000">
        <w:trPr>
          <w:trHeight w:val="260"/>
        </w:trPr>
        <w:tc>
          <w:tcPr>
            <w:tcW w:w="1817" w:type="dxa"/>
            <w:hideMark/>
          </w:tcPr>
          <w:p w:rsidR="00000000" w:rsidRDefault="00827BE1">
            <w:pPr>
              <w:widowControl w:val="0"/>
              <w:rPr>
                <w:rFonts w:ascii="Arial" w:hAnsi="Arial" w:cs="Arial"/>
              </w:rPr>
            </w:pPr>
            <w:r>
              <w:rPr>
                <w:rFonts w:ascii="Arial" w:hAnsi="Arial" w:cs="Arial"/>
              </w:rPr>
              <w:t>E-mail:</w:t>
            </w:r>
          </w:p>
        </w:tc>
        <w:tc>
          <w:tcPr>
            <w:tcW w:w="1963" w:type="dxa"/>
            <w:hideMark/>
          </w:tcPr>
          <w:p w:rsidR="00000000" w:rsidRDefault="00827BE1">
            <w:pPr>
              <w:widowControl w:val="0"/>
              <w:rPr>
                <w:rFonts w:ascii="Arial" w:hAnsi="Arial" w:cs="Arial"/>
              </w:rPr>
            </w:pPr>
            <w:r>
              <w:rPr>
                <w:rFonts w:ascii="Arial" w:hAnsi="Arial" w:cs="Arial"/>
              </w:rPr>
              <w:t>David.Lawrence@fairfaxcounty.gov</w:t>
            </w:r>
          </w:p>
        </w:tc>
        <w:tc>
          <w:tcPr>
            <w:tcW w:w="0" w:type="auto"/>
            <w:vAlign w:val="center"/>
            <w:hideMark/>
          </w:tcPr>
          <w:p w:rsidR="00000000" w:rsidRDefault="00827BE1">
            <w:pPr>
              <w:rPr>
                <w:rFonts w:eastAsia="Times New Roman"/>
                <w:sz w:val="20"/>
                <w:szCs w:val="20"/>
              </w:rPr>
            </w:pPr>
          </w:p>
        </w:tc>
        <w:tc>
          <w:tcPr>
            <w:tcW w:w="0" w:type="auto"/>
            <w:vAlign w:val="center"/>
            <w:hideMark/>
          </w:tcPr>
          <w:p w:rsidR="00000000" w:rsidRDefault="00827BE1">
            <w:pPr>
              <w:rPr>
                <w:rFonts w:eastAsia="Times New Roman"/>
                <w:sz w:val="20"/>
                <w:szCs w:val="20"/>
              </w:rPr>
            </w:pPr>
          </w:p>
        </w:tc>
      </w:tr>
    </w:tbl>
    <w:p w:rsidR="00000000" w:rsidRDefault="00827BE1">
      <w:pPr>
        <w:rPr>
          <w:rFonts w:ascii="Arial" w:hAnsi="Arial" w:cs="Arial"/>
        </w:rPr>
      </w:pPr>
    </w:p>
    <w:p w:rsidR="00000000" w:rsidRDefault="00827BE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827BE1">
            <w:pPr>
              <w:widowControl w:val="0"/>
              <w:rPr>
                <w:rFonts w:ascii="Arial" w:hAnsi="Arial" w:cs="Arial"/>
              </w:rPr>
            </w:pPr>
            <w:r>
              <w:rPr>
                <w:rFonts w:ascii="Arial" w:hAnsi="Arial" w:cs="Arial"/>
              </w:rPr>
              <w:t>Name:</w:t>
            </w:r>
          </w:p>
        </w:tc>
        <w:tc>
          <w:tcPr>
            <w:tcW w:w="7723" w:type="dxa"/>
            <w:gridSpan w:val="3"/>
            <w:hideMark/>
          </w:tcPr>
          <w:p w:rsidR="00000000" w:rsidRDefault="00827BE1">
            <w:pPr>
              <w:widowControl w:val="0"/>
              <w:rPr>
                <w:rFonts w:ascii="Arial" w:hAnsi="Arial" w:cs="Arial"/>
              </w:rPr>
            </w:pPr>
            <w:r>
              <w:rPr>
                <w:rFonts w:ascii="Arial" w:hAnsi="Arial" w:cs="Arial"/>
              </w:rPr>
              <w:t>Debbie Watts, Co Vice-Chair</w:t>
            </w:r>
          </w:p>
        </w:tc>
      </w:tr>
      <w:bookmarkEnd w:id="1"/>
      <w:tr w:rsidR="00000000">
        <w:tc>
          <w:tcPr>
            <w:tcW w:w="1817" w:type="dxa"/>
            <w:hideMark/>
          </w:tcPr>
          <w:p w:rsidR="00000000" w:rsidRDefault="00827BE1">
            <w:pPr>
              <w:widowControl w:val="0"/>
              <w:rPr>
                <w:rFonts w:ascii="Arial" w:hAnsi="Arial" w:cs="Arial"/>
              </w:rPr>
            </w:pPr>
            <w:r>
              <w:rPr>
                <w:rFonts w:ascii="Arial" w:hAnsi="Arial" w:cs="Arial"/>
              </w:rPr>
              <w:t xml:space="preserve">Organization:  </w:t>
            </w:r>
          </w:p>
        </w:tc>
        <w:tc>
          <w:tcPr>
            <w:tcW w:w="7723" w:type="dxa"/>
            <w:gridSpan w:val="3"/>
            <w:hideMark/>
          </w:tcPr>
          <w:p w:rsidR="00000000" w:rsidRDefault="00827BE1">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827BE1">
            <w:pPr>
              <w:widowControl w:val="0"/>
              <w:rPr>
                <w:rFonts w:ascii="Arial" w:hAnsi="Arial" w:cs="Arial"/>
              </w:rPr>
            </w:pPr>
            <w:r>
              <w:rPr>
                <w:rFonts w:ascii="Arial" w:hAnsi="Arial" w:cs="Arial"/>
              </w:rPr>
              <w:t>Address:</w:t>
            </w:r>
          </w:p>
        </w:tc>
        <w:tc>
          <w:tcPr>
            <w:tcW w:w="7723" w:type="dxa"/>
            <w:gridSpan w:val="3"/>
            <w:hideMark/>
          </w:tcPr>
          <w:p w:rsidR="00000000" w:rsidRDefault="00827BE1">
            <w:pPr>
              <w:widowControl w:val="0"/>
              <w:rPr>
                <w:rFonts w:ascii="Arial" w:hAnsi="Arial" w:cs="Arial"/>
              </w:rPr>
            </w:pPr>
            <w:r>
              <w:rPr>
                <w:rFonts w:ascii="Arial" w:hAnsi="Arial" w:cs="Arial"/>
              </w:rPr>
              <w:t>Tulsa Health Department5051 South 129th East Avenue</w:t>
            </w:r>
          </w:p>
        </w:tc>
      </w:tr>
      <w:tr w:rsidR="00000000">
        <w:tc>
          <w:tcPr>
            <w:tcW w:w="1817" w:type="dxa"/>
            <w:hideMark/>
          </w:tcPr>
          <w:p w:rsidR="00000000" w:rsidRDefault="00827BE1">
            <w:pPr>
              <w:widowControl w:val="0"/>
              <w:rPr>
                <w:rFonts w:ascii="Arial" w:hAnsi="Arial" w:cs="Arial"/>
              </w:rPr>
            </w:pPr>
            <w:r>
              <w:rPr>
                <w:rFonts w:ascii="Arial" w:hAnsi="Arial" w:cs="Arial"/>
              </w:rPr>
              <w:t>City/State/Zip:</w:t>
            </w:r>
          </w:p>
        </w:tc>
        <w:tc>
          <w:tcPr>
            <w:tcW w:w="7723" w:type="dxa"/>
            <w:gridSpan w:val="3"/>
            <w:hideMark/>
          </w:tcPr>
          <w:p w:rsidR="00000000" w:rsidRDefault="00827BE1">
            <w:pPr>
              <w:widowControl w:val="0"/>
              <w:rPr>
                <w:rFonts w:ascii="Arial" w:hAnsi="Arial" w:cs="Arial"/>
              </w:rPr>
            </w:pPr>
            <w:r>
              <w:rPr>
                <w:rFonts w:ascii="Arial" w:hAnsi="Arial" w:cs="Arial"/>
              </w:rPr>
              <w:t>Tuls, OK 74134</w:t>
            </w:r>
          </w:p>
        </w:tc>
      </w:tr>
      <w:tr w:rsidR="00000000">
        <w:trPr>
          <w:trHeight w:val="260"/>
        </w:trPr>
        <w:tc>
          <w:tcPr>
            <w:tcW w:w="1817" w:type="dxa"/>
            <w:hideMark/>
          </w:tcPr>
          <w:p w:rsidR="00000000" w:rsidRDefault="00827BE1">
            <w:pPr>
              <w:widowControl w:val="0"/>
              <w:rPr>
                <w:rFonts w:ascii="Arial" w:hAnsi="Arial" w:cs="Arial"/>
              </w:rPr>
            </w:pPr>
            <w:r>
              <w:rPr>
                <w:rFonts w:ascii="Arial" w:hAnsi="Arial" w:cs="Arial"/>
              </w:rPr>
              <w:t>Telephone:</w:t>
            </w:r>
          </w:p>
        </w:tc>
        <w:tc>
          <w:tcPr>
            <w:tcW w:w="1963" w:type="dxa"/>
            <w:hideMark/>
          </w:tcPr>
          <w:p w:rsidR="00000000" w:rsidRDefault="00827BE1">
            <w:pPr>
              <w:widowControl w:val="0"/>
              <w:rPr>
                <w:rFonts w:ascii="Arial" w:hAnsi="Arial" w:cs="Arial"/>
              </w:rPr>
            </w:pPr>
            <w:r>
              <w:rPr>
                <w:rFonts w:ascii="Arial" w:hAnsi="Arial" w:cs="Arial"/>
              </w:rPr>
              <w:t>(918) 595-4305</w:t>
            </w:r>
          </w:p>
        </w:tc>
        <w:tc>
          <w:tcPr>
            <w:tcW w:w="0" w:type="auto"/>
            <w:vAlign w:val="center"/>
            <w:hideMark/>
          </w:tcPr>
          <w:p w:rsidR="00000000" w:rsidRDefault="00827BE1">
            <w:pPr>
              <w:rPr>
                <w:rFonts w:eastAsia="Times New Roman"/>
                <w:sz w:val="20"/>
                <w:szCs w:val="20"/>
              </w:rPr>
            </w:pPr>
          </w:p>
        </w:tc>
        <w:tc>
          <w:tcPr>
            <w:tcW w:w="0" w:type="auto"/>
            <w:vAlign w:val="center"/>
            <w:hideMark/>
          </w:tcPr>
          <w:p w:rsidR="00000000" w:rsidRDefault="00827BE1">
            <w:pPr>
              <w:rPr>
                <w:rFonts w:eastAsia="Times New Roman"/>
                <w:sz w:val="20"/>
                <w:szCs w:val="20"/>
              </w:rPr>
            </w:pPr>
          </w:p>
        </w:tc>
      </w:tr>
      <w:tr w:rsidR="00000000">
        <w:trPr>
          <w:trHeight w:val="260"/>
        </w:trPr>
        <w:tc>
          <w:tcPr>
            <w:tcW w:w="1817" w:type="dxa"/>
            <w:hideMark/>
          </w:tcPr>
          <w:p w:rsidR="00000000" w:rsidRDefault="00827BE1">
            <w:pPr>
              <w:widowControl w:val="0"/>
              <w:rPr>
                <w:rFonts w:ascii="Arial" w:hAnsi="Arial" w:cs="Arial"/>
              </w:rPr>
            </w:pPr>
            <w:r>
              <w:rPr>
                <w:rFonts w:ascii="Arial" w:hAnsi="Arial" w:cs="Arial"/>
              </w:rPr>
              <w:t>E-mail:</w:t>
            </w:r>
          </w:p>
        </w:tc>
        <w:tc>
          <w:tcPr>
            <w:tcW w:w="1963" w:type="dxa"/>
            <w:hideMark/>
          </w:tcPr>
          <w:p w:rsidR="00000000" w:rsidRDefault="00827BE1">
            <w:pPr>
              <w:widowControl w:val="0"/>
              <w:rPr>
                <w:rFonts w:ascii="Arial" w:hAnsi="Arial" w:cs="Arial"/>
              </w:rPr>
            </w:pPr>
            <w:r>
              <w:rPr>
                <w:rFonts w:ascii="Arial" w:hAnsi="Arial" w:cs="Arial"/>
              </w:rPr>
              <w:t>Dwatts@tulsa-health.org</w:t>
            </w:r>
          </w:p>
        </w:tc>
        <w:tc>
          <w:tcPr>
            <w:tcW w:w="0" w:type="auto"/>
            <w:vAlign w:val="center"/>
            <w:hideMark/>
          </w:tcPr>
          <w:p w:rsidR="00000000" w:rsidRDefault="00827BE1">
            <w:pPr>
              <w:rPr>
                <w:rFonts w:eastAsia="Times New Roman"/>
                <w:sz w:val="20"/>
                <w:szCs w:val="20"/>
              </w:rPr>
            </w:pPr>
          </w:p>
        </w:tc>
        <w:tc>
          <w:tcPr>
            <w:tcW w:w="0" w:type="auto"/>
            <w:vAlign w:val="center"/>
            <w:hideMark/>
          </w:tcPr>
          <w:p w:rsidR="00000000" w:rsidRDefault="00827BE1">
            <w:pPr>
              <w:rPr>
                <w:rFonts w:eastAsia="Times New Roman"/>
                <w:sz w:val="20"/>
                <w:szCs w:val="20"/>
              </w:rPr>
            </w:pPr>
          </w:p>
        </w:tc>
      </w:tr>
    </w:tbl>
    <w:p w:rsidR="00000000" w:rsidRDefault="00827BE1">
      <w:pPr>
        <w:rPr>
          <w:rFonts w:ascii="Arial" w:hAnsi="Arial" w:cs="Arial"/>
        </w:rPr>
      </w:pPr>
    </w:p>
    <w:p w:rsidR="00000000" w:rsidRDefault="00827BE1">
      <w:pPr>
        <w:rPr>
          <w:rFonts w:ascii="Arial" w:hAnsi="Arial" w:cs="Arial"/>
          <w:b/>
        </w:rPr>
      </w:pPr>
      <w:r>
        <w:rPr>
          <w:rFonts w:ascii="Arial" w:hAnsi="Arial" w:cs="Arial"/>
          <w:b/>
        </w:rPr>
        <w:t>Content Documents:</w:t>
      </w:r>
    </w:p>
    <w:p w:rsidR="00000000" w:rsidRDefault="00827BE1">
      <w:pPr>
        <w:numPr>
          <w:ilvl w:val="0"/>
          <w:numId w:val="3"/>
          <w:numberingChange w:id="2" w:author="Unknown" w:original=""/>
        </w:numPr>
        <w:rPr>
          <w:rFonts w:ascii="Arial" w:hAnsi="Arial" w:cs="Arial"/>
        </w:rPr>
      </w:pPr>
      <w:r>
        <w:rPr>
          <w:rFonts w:ascii="Arial" w:hAnsi="Arial" w:cs="Arial"/>
        </w:rPr>
        <w:t xml:space="preserve">"2014-2016 Program Standards Committee Final Report" </w:t>
      </w:r>
    </w:p>
    <w:p w:rsidR="00000000" w:rsidRDefault="00827BE1">
      <w:pPr>
        <w:numPr>
          <w:ilvl w:val="0"/>
          <w:numId w:val="3"/>
          <w:numberingChange w:id="3" w:author="Unknown" w:original=""/>
        </w:numPr>
        <w:rPr>
          <w:rFonts w:ascii="Arial" w:hAnsi="Arial" w:cs="Arial"/>
        </w:rPr>
      </w:pPr>
      <w:r>
        <w:rPr>
          <w:rFonts w:ascii="Arial" w:hAnsi="Arial" w:cs="Arial"/>
        </w:rPr>
        <w:t xml:space="preserve">"2014-2016 CFP Program Standards Committee Membership Roster" </w:t>
      </w:r>
    </w:p>
    <w:p w:rsidR="00000000" w:rsidRDefault="00827BE1">
      <w:pPr>
        <w:numPr>
          <w:ilvl w:val="0"/>
          <w:numId w:val="3"/>
          <w:numberingChange w:id="4" w:author="Unknown" w:original=""/>
        </w:numPr>
        <w:rPr>
          <w:rFonts w:ascii="Arial" w:hAnsi="Arial" w:cs="Arial"/>
        </w:rPr>
      </w:pPr>
      <w:r>
        <w:rPr>
          <w:rFonts w:ascii="Arial" w:hAnsi="Arial" w:cs="Arial"/>
        </w:rPr>
        <w:t xml:space="preserve">"Retail Program Standards - Competency of Inspectors Infographic" </w:t>
      </w:r>
    </w:p>
    <w:p w:rsidR="00000000" w:rsidRDefault="00827BE1">
      <w:pPr>
        <w:rPr>
          <w:rFonts w:ascii="Arial" w:hAnsi="Arial" w:cs="Arial"/>
        </w:rPr>
      </w:pPr>
    </w:p>
    <w:p w:rsidR="00000000" w:rsidRDefault="00827BE1">
      <w:pPr>
        <w:rPr>
          <w:rFonts w:ascii="Arial" w:hAnsi="Arial" w:cs="Arial"/>
        </w:rPr>
      </w:pPr>
    </w:p>
    <w:p w:rsidR="00000000" w:rsidRDefault="00827BE1">
      <w:pPr>
        <w:rPr>
          <w:rFonts w:ascii="Arial" w:hAnsi="Arial" w:cs="Arial"/>
          <w:b/>
        </w:rPr>
      </w:pPr>
      <w:r>
        <w:rPr>
          <w:rFonts w:ascii="Arial" w:hAnsi="Arial" w:cs="Arial"/>
          <w:b/>
        </w:rPr>
        <w:t>Supporting Attachments:</w:t>
      </w:r>
    </w:p>
    <w:p w:rsidR="00000000" w:rsidRDefault="00827BE1">
      <w:pPr>
        <w:numPr>
          <w:ilvl w:val="0"/>
          <w:numId w:val="3"/>
          <w:numberingChange w:id="5" w:author="Unknown" w:original=""/>
        </w:numPr>
        <w:rPr>
          <w:rFonts w:ascii="Arial" w:hAnsi="Arial" w:cs="Arial"/>
        </w:rPr>
      </w:pPr>
      <w:r>
        <w:rPr>
          <w:rFonts w:ascii="Arial" w:hAnsi="Arial" w:cs="Arial"/>
        </w:rPr>
        <w:t xml:space="preserve">"Verification Audit Survey Tool" </w:t>
      </w:r>
    </w:p>
    <w:p w:rsidR="00000000" w:rsidRDefault="00827BE1">
      <w:pPr>
        <w:numPr>
          <w:ilvl w:val="0"/>
          <w:numId w:val="3"/>
          <w:numberingChange w:id="6" w:author="Unknown" w:original=""/>
        </w:numPr>
        <w:rPr>
          <w:rFonts w:ascii="Arial" w:hAnsi="Arial" w:cs="Arial"/>
        </w:rPr>
      </w:pPr>
      <w:r>
        <w:rPr>
          <w:rFonts w:ascii="Arial" w:hAnsi="Arial" w:cs="Arial"/>
        </w:rPr>
        <w:t xml:space="preserve">"Industry Support for Standards 2, 4 and 7 Survey Tool" </w:t>
      </w:r>
    </w:p>
    <w:p w:rsidR="00000000" w:rsidRDefault="00827BE1">
      <w:pPr>
        <w:numPr>
          <w:ilvl w:val="0"/>
          <w:numId w:val="3"/>
          <w:numberingChange w:id="7" w:author="Unknown" w:original=""/>
        </w:numPr>
        <w:rPr>
          <w:rFonts w:ascii="Arial" w:hAnsi="Arial" w:cs="Arial"/>
        </w:rPr>
      </w:pPr>
      <w:r>
        <w:rPr>
          <w:rFonts w:ascii="Arial" w:hAnsi="Arial" w:cs="Arial"/>
        </w:rPr>
        <w:t xml:space="preserve">"Verification Audit Survey Results" </w:t>
      </w:r>
    </w:p>
    <w:p w:rsidR="00000000" w:rsidRDefault="00827BE1">
      <w:pPr>
        <w:numPr>
          <w:ilvl w:val="0"/>
          <w:numId w:val="3"/>
          <w:numberingChange w:id="8" w:author="Unknown" w:original=""/>
        </w:numPr>
        <w:rPr>
          <w:rFonts w:ascii="Arial" w:hAnsi="Arial" w:cs="Arial"/>
        </w:rPr>
      </w:pPr>
      <w:r>
        <w:rPr>
          <w:rFonts w:ascii="Arial" w:hAnsi="Arial" w:cs="Arial"/>
        </w:rPr>
        <w:t xml:space="preserve">"Industry Support for Standards 2, 4 and 7 Survey Results (FMI Summary)" </w:t>
      </w:r>
    </w:p>
    <w:p w:rsidR="00000000" w:rsidRDefault="00827BE1">
      <w:pPr>
        <w:numPr>
          <w:ilvl w:val="0"/>
          <w:numId w:val="3"/>
          <w:numberingChange w:id="9" w:author="Unknown" w:original=""/>
        </w:numPr>
        <w:rPr>
          <w:rFonts w:ascii="Arial" w:hAnsi="Arial" w:cs="Arial"/>
        </w:rPr>
      </w:pPr>
      <w:r>
        <w:rPr>
          <w:rFonts w:ascii="Arial" w:hAnsi="Arial" w:cs="Arial"/>
        </w:rPr>
        <w:t>"Industry Support for Standard</w:t>
      </w:r>
      <w:r>
        <w:rPr>
          <w:rFonts w:ascii="Arial" w:hAnsi="Arial" w:cs="Arial"/>
        </w:rPr>
        <w:t xml:space="preserve">s 2, 4 and 7 Survey Results (NRA Summary)" </w:t>
      </w:r>
    </w:p>
    <w:p w:rsidR="00000000" w:rsidRDefault="00827BE1">
      <w:pPr>
        <w:rPr>
          <w:rFonts w:ascii="Arial" w:hAnsi="Arial" w:cs="Arial"/>
          <w:b/>
        </w:rPr>
      </w:pPr>
    </w:p>
    <w:p w:rsidR="00000000" w:rsidRDefault="00827BE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CB5"/>
    <w:multiLevelType w:val="multilevel"/>
    <w:tmpl w:val="045A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827BE1"/>
    <w:rsid w:val="0082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Company>Conference for Food Safety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