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7B1A">
      <w:pPr>
        <w:jc w:val="center"/>
        <w:rPr>
          <w:rFonts w:ascii="Arial" w:hAnsi="Arial" w:cs="Arial"/>
          <w:b/>
        </w:rPr>
      </w:pPr>
      <w:bookmarkStart w:id="0" w:name="_GoBack"/>
      <w:bookmarkEnd w:id="0"/>
      <w:r>
        <w:rPr>
          <w:rFonts w:ascii="Arial" w:hAnsi="Arial" w:cs="Arial"/>
          <w:b/>
        </w:rPr>
        <w:t>Conference for Food Protection</w:t>
      </w:r>
    </w:p>
    <w:p w:rsidR="00000000" w:rsidRDefault="00147B1A">
      <w:pPr>
        <w:jc w:val="center"/>
        <w:rPr>
          <w:rFonts w:ascii="Arial" w:hAnsi="Arial" w:cs="Arial"/>
          <w:b/>
        </w:rPr>
      </w:pPr>
      <w:r>
        <w:rPr>
          <w:rFonts w:ascii="Arial" w:hAnsi="Arial" w:cs="Arial"/>
          <w:b/>
        </w:rPr>
        <w:t>2016 Issue Form</w:t>
      </w:r>
    </w:p>
    <w:p w:rsidR="00000000" w:rsidRDefault="00147B1A">
      <w:pPr>
        <w:rPr>
          <w:rFonts w:ascii="Arial" w:hAnsi="Arial" w:cs="Arial"/>
          <w:b/>
        </w:rPr>
      </w:pPr>
    </w:p>
    <w:p w:rsidR="00000000" w:rsidRDefault="00147B1A">
      <w:pPr>
        <w:jc w:val="right"/>
        <w:rPr>
          <w:rFonts w:ascii="Arial" w:hAnsi="Arial" w:cs="Arial"/>
          <w:b/>
        </w:rPr>
      </w:pPr>
      <w:r>
        <w:rPr>
          <w:rFonts w:ascii="Arial" w:hAnsi="Arial" w:cs="Arial"/>
          <w:b/>
        </w:rPr>
        <w:t>Issue: 2016 III-024</w:t>
      </w:r>
    </w:p>
    <w:p w:rsidR="00000000" w:rsidRDefault="00147B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47B1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47B1A">
            <w:pPr>
              <w:rPr>
                <w:rFonts w:ascii="Arial" w:hAnsi="Arial" w:cs="Arial"/>
              </w:rPr>
            </w:pPr>
            <w:r>
              <w:rPr>
                <w:rFonts w:ascii="Arial" w:hAnsi="Arial" w:cs="Arial"/>
              </w:rPr>
              <w:t>Accepted as</w:t>
            </w:r>
          </w:p>
          <w:p w:rsidR="00000000" w:rsidRDefault="00147B1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47B1A">
            <w:pPr>
              <w:rPr>
                <w:rFonts w:ascii="Arial" w:hAnsi="Arial" w:cs="Arial"/>
                <w:b/>
              </w:rPr>
            </w:pPr>
          </w:p>
        </w:tc>
        <w:tc>
          <w:tcPr>
            <w:tcW w:w="1728" w:type="dxa"/>
            <w:tcBorders>
              <w:top w:val="nil"/>
              <w:left w:val="nil"/>
              <w:bottom w:val="nil"/>
              <w:right w:val="nil"/>
            </w:tcBorders>
            <w:vAlign w:val="bottom"/>
            <w:hideMark/>
          </w:tcPr>
          <w:p w:rsidR="00000000" w:rsidRDefault="00147B1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47B1A">
            <w:pPr>
              <w:rPr>
                <w:rFonts w:ascii="Arial" w:hAnsi="Arial" w:cs="Arial"/>
                <w:b/>
              </w:rPr>
            </w:pPr>
          </w:p>
        </w:tc>
        <w:tc>
          <w:tcPr>
            <w:tcW w:w="1584" w:type="dxa"/>
            <w:tcBorders>
              <w:top w:val="nil"/>
              <w:left w:val="nil"/>
              <w:bottom w:val="nil"/>
              <w:right w:val="nil"/>
            </w:tcBorders>
            <w:vAlign w:val="bottom"/>
          </w:tcPr>
          <w:p w:rsidR="00000000" w:rsidRDefault="00147B1A">
            <w:pPr>
              <w:rPr>
                <w:rFonts w:ascii="Arial" w:hAnsi="Arial" w:cs="Arial"/>
                <w:b/>
              </w:rPr>
            </w:pPr>
          </w:p>
          <w:p w:rsidR="00000000" w:rsidRDefault="00147B1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47B1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47B1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47B1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47B1A">
            <w:pPr>
              <w:rPr>
                <w:rFonts w:ascii="Arial" w:hAnsi="Arial" w:cs="Arial"/>
                <w:b/>
              </w:rPr>
            </w:pPr>
          </w:p>
        </w:tc>
        <w:tc>
          <w:tcPr>
            <w:tcW w:w="1728" w:type="dxa"/>
            <w:tcBorders>
              <w:top w:val="nil"/>
              <w:left w:val="nil"/>
              <w:bottom w:val="nil"/>
              <w:right w:val="nil"/>
            </w:tcBorders>
            <w:vAlign w:val="bottom"/>
            <w:hideMark/>
          </w:tcPr>
          <w:p w:rsidR="00000000" w:rsidRDefault="00147B1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47B1A">
            <w:pPr>
              <w:rPr>
                <w:rFonts w:ascii="Arial" w:hAnsi="Arial" w:cs="Arial"/>
                <w:b/>
              </w:rPr>
            </w:pPr>
          </w:p>
        </w:tc>
        <w:tc>
          <w:tcPr>
            <w:tcW w:w="1584" w:type="dxa"/>
            <w:tcBorders>
              <w:top w:val="nil"/>
              <w:left w:val="nil"/>
              <w:bottom w:val="nil"/>
              <w:right w:val="nil"/>
            </w:tcBorders>
            <w:vAlign w:val="bottom"/>
          </w:tcPr>
          <w:p w:rsidR="00000000" w:rsidRDefault="00147B1A">
            <w:pPr>
              <w:pStyle w:val="Heading1"/>
              <w:jc w:val="left"/>
              <w:rPr>
                <w:rFonts w:cs="Arial"/>
                <w:szCs w:val="24"/>
              </w:rPr>
            </w:pPr>
          </w:p>
        </w:tc>
        <w:tc>
          <w:tcPr>
            <w:tcW w:w="720" w:type="dxa"/>
            <w:tcBorders>
              <w:top w:val="nil"/>
              <w:left w:val="nil"/>
              <w:bottom w:val="nil"/>
              <w:right w:val="nil"/>
            </w:tcBorders>
            <w:vAlign w:val="bottom"/>
          </w:tcPr>
          <w:p w:rsidR="00000000" w:rsidRDefault="00147B1A">
            <w:pPr>
              <w:rPr>
                <w:rFonts w:ascii="Arial" w:hAnsi="Arial" w:cs="Arial"/>
                <w:b/>
              </w:rPr>
            </w:pPr>
          </w:p>
        </w:tc>
      </w:tr>
    </w:tbl>
    <w:p w:rsidR="00000000" w:rsidRDefault="00147B1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147B1A">
      <w:pPr>
        <w:rPr>
          <w:rFonts w:ascii="Arial" w:hAnsi="Arial" w:cs="Arial"/>
          <w:b/>
        </w:rPr>
      </w:pPr>
    </w:p>
    <w:p w:rsidR="00000000" w:rsidRDefault="00147B1A">
      <w:pPr>
        <w:rPr>
          <w:rFonts w:ascii="Arial" w:hAnsi="Arial" w:cs="Arial"/>
          <w:b/>
        </w:rPr>
      </w:pPr>
      <w:r>
        <w:rPr>
          <w:rFonts w:ascii="Arial" w:hAnsi="Arial" w:cs="Arial"/>
          <w:b/>
        </w:rPr>
        <w:t>Issue History:</w:t>
      </w:r>
    </w:p>
    <w:p w:rsidR="00000000" w:rsidRDefault="00147B1A">
      <w:pPr>
        <w:pStyle w:val="NormalWeb"/>
        <w:rPr>
          <w:rFonts w:ascii="Arial" w:hAnsi="Arial" w:cs="Arial"/>
        </w:rPr>
      </w:pPr>
      <w:r>
        <w:rPr>
          <w:rFonts w:ascii="Arial" w:hAnsi="Arial" w:cs="Arial"/>
        </w:rPr>
        <w:t>This is a brand new Issue.</w:t>
      </w:r>
    </w:p>
    <w:p w:rsidR="00000000" w:rsidRDefault="00147B1A">
      <w:pPr>
        <w:rPr>
          <w:rFonts w:ascii="Arial" w:eastAsia="Times New Roman" w:hAnsi="Arial" w:cs="Arial"/>
        </w:rPr>
      </w:pPr>
    </w:p>
    <w:p w:rsidR="00000000" w:rsidRDefault="00147B1A">
      <w:pPr>
        <w:rPr>
          <w:rFonts w:ascii="Arial" w:hAnsi="Arial" w:cs="Arial"/>
          <w:b/>
        </w:rPr>
      </w:pPr>
      <w:r>
        <w:rPr>
          <w:rFonts w:ascii="Arial" w:hAnsi="Arial" w:cs="Arial"/>
          <w:b/>
        </w:rPr>
        <w:t>Title:</w:t>
      </w:r>
    </w:p>
    <w:p w:rsidR="00000000" w:rsidRDefault="00147B1A">
      <w:pPr>
        <w:pStyle w:val="NormalWeb"/>
        <w:rPr>
          <w:rFonts w:ascii="Arial" w:hAnsi="Arial" w:cs="Arial"/>
        </w:rPr>
      </w:pPr>
      <w:r>
        <w:rPr>
          <w:rFonts w:ascii="Arial" w:hAnsi="Arial" w:cs="Arial"/>
        </w:rPr>
        <w:t>Separation of Packaged Products Displayed at Retail</w:t>
      </w:r>
    </w:p>
    <w:p w:rsidR="00000000" w:rsidRDefault="00147B1A">
      <w:pPr>
        <w:rPr>
          <w:rFonts w:ascii="Arial" w:eastAsia="Times New Roman" w:hAnsi="Arial" w:cs="Arial"/>
        </w:rPr>
      </w:pPr>
    </w:p>
    <w:p w:rsidR="00000000" w:rsidRDefault="00147B1A">
      <w:pPr>
        <w:rPr>
          <w:rFonts w:ascii="Arial" w:hAnsi="Arial" w:cs="Arial"/>
          <w:b/>
        </w:rPr>
      </w:pPr>
      <w:r>
        <w:rPr>
          <w:rFonts w:ascii="Arial" w:hAnsi="Arial" w:cs="Arial"/>
          <w:b/>
        </w:rPr>
        <w:t>Issue you would like the Conference to consider:</w:t>
      </w:r>
    </w:p>
    <w:p w:rsidR="00000000" w:rsidRDefault="00147B1A">
      <w:pPr>
        <w:pStyle w:val="NormalWeb"/>
        <w:rPr>
          <w:rFonts w:ascii="Arial" w:hAnsi="Arial" w:cs="Arial"/>
        </w:rPr>
      </w:pPr>
      <w:r>
        <w:rPr>
          <w:rFonts w:ascii="Arial" w:hAnsi="Arial" w:cs="Arial"/>
        </w:rPr>
        <w:t>Retailers have a desire to cross merchandise</w:t>
      </w:r>
      <w:r>
        <w:rPr>
          <w:rFonts w:ascii="Arial" w:hAnsi="Arial" w:cs="Arial"/>
        </w:rPr>
        <w:t xml:space="preserve"> certain items for customer convenience at point of sale (e.g. packages of cheese singles displayed adjacent to modified atmosphere packages (MAP) of raw preformed hamburgers, cooked bacon packages near raw bacon packages). Additionally, packaged salads ma</w:t>
      </w:r>
      <w:r>
        <w:rPr>
          <w:rFonts w:ascii="Arial" w:hAnsi="Arial" w:cs="Arial"/>
        </w:rPr>
        <w:t xml:space="preserve">y contain packets of portioned salad dressing within the package of salad greens. The 2013 FDA Food Code Section </w:t>
      </w:r>
      <w:r>
        <w:rPr>
          <w:rStyle w:val="Strong"/>
          <w:rFonts w:ascii="Arial" w:hAnsi="Arial" w:cs="Arial"/>
        </w:rPr>
        <w:t xml:space="preserve">3-302.11 </w:t>
      </w:r>
      <w:r>
        <w:rPr>
          <w:rFonts w:ascii="Arial" w:hAnsi="Arial" w:cs="Arial"/>
        </w:rPr>
        <w:t>has been used as the basis for not allowing this type of product merchandising.</w:t>
      </w:r>
    </w:p>
    <w:p w:rsidR="00000000" w:rsidRDefault="00147B1A">
      <w:pPr>
        <w:pStyle w:val="NormalWeb"/>
        <w:rPr>
          <w:rFonts w:ascii="Arial" w:hAnsi="Arial" w:cs="Arial"/>
        </w:rPr>
      </w:pPr>
      <w:r>
        <w:rPr>
          <w:rFonts w:ascii="Arial" w:hAnsi="Arial" w:cs="Arial"/>
        </w:rPr>
        <w:t>Modern package integrity has improved and is less like</w:t>
      </w:r>
      <w:r>
        <w:rPr>
          <w:rFonts w:ascii="Arial" w:hAnsi="Arial" w:cs="Arial"/>
        </w:rPr>
        <w:t>ly to leak when compared to historical packaging. This improved packaging mitigates the cross-contamination concerns over juices spilling from a package containing one species of meat/poultry onto another package containing another species. Package integri</w:t>
      </w:r>
      <w:r>
        <w:rPr>
          <w:rFonts w:ascii="Arial" w:hAnsi="Arial" w:cs="Arial"/>
        </w:rPr>
        <w:t>ty is a food safety and quality issue and defects are corrected immediately.</w:t>
      </w:r>
    </w:p>
    <w:p w:rsidR="00000000" w:rsidRDefault="00147B1A">
      <w:pPr>
        <w:rPr>
          <w:rFonts w:ascii="Arial" w:eastAsia="Times New Roman" w:hAnsi="Arial" w:cs="Arial"/>
        </w:rPr>
      </w:pPr>
    </w:p>
    <w:p w:rsidR="00000000" w:rsidRDefault="00147B1A">
      <w:pPr>
        <w:rPr>
          <w:rFonts w:ascii="Arial" w:hAnsi="Arial" w:cs="Arial"/>
          <w:b/>
        </w:rPr>
      </w:pPr>
      <w:r>
        <w:rPr>
          <w:rFonts w:ascii="Arial" w:hAnsi="Arial" w:cs="Arial"/>
          <w:b/>
        </w:rPr>
        <w:t>Public Health Significance:</w:t>
      </w:r>
    </w:p>
    <w:p w:rsidR="00000000" w:rsidRDefault="00147B1A">
      <w:pPr>
        <w:pStyle w:val="NormalWeb"/>
        <w:rPr>
          <w:rFonts w:ascii="Arial" w:hAnsi="Arial" w:cs="Arial"/>
        </w:rPr>
      </w:pPr>
      <w:r>
        <w:rPr>
          <w:rFonts w:ascii="Arial" w:hAnsi="Arial" w:cs="Arial"/>
        </w:rPr>
        <w:t>The FDA Food Code requires separation of products to protect from cross contamination. While prevention of cross contamination is critical, we are not</w:t>
      </w:r>
      <w:r>
        <w:rPr>
          <w:rFonts w:ascii="Arial" w:hAnsi="Arial" w:cs="Arial"/>
        </w:rPr>
        <w:t xml:space="preserve"> aware of any documented foodborne illnesses from cross contamination from packaged product in retail stores due to contact with other packaging. In the event that packaging integrity is compromised, products are removed and the area is cleaned and sanitiz</w:t>
      </w:r>
      <w:r>
        <w:rPr>
          <w:rFonts w:ascii="Arial" w:hAnsi="Arial" w:cs="Arial"/>
        </w:rPr>
        <w:t>ed. Therefore, the public health impact of this provision is minimal and the proposed change would be minimal.</w:t>
      </w:r>
    </w:p>
    <w:p w:rsidR="00000000" w:rsidRDefault="00147B1A">
      <w:pPr>
        <w:rPr>
          <w:rFonts w:ascii="Arial" w:eastAsia="Times New Roman" w:hAnsi="Arial" w:cs="Arial"/>
        </w:rPr>
      </w:pPr>
    </w:p>
    <w:p w:rsidR="00000000" w:rsidRDefault="00147B1A">
      <w:pPr>
        <w:rPr>
          <w:rFonts w:ascii="Arial" w:hAnsi="Arial" w:cs="Arial"/>
          <w:b/>
        </w:rPr>
      </w:pPr>
      <w:r>
        <w:rPr>
          <w:rFonts w:ascii="Arial" w:hAnsi="Arial" w:cs="Arial"/>
          <w:b/>
        </w:rPr>
        <w:lastRenderedPageBreak/>
        <w:t>Recommended Solution: The Conference recommends...:</w:t>
      </w:r>
    </w:p>
    <w:p w:rsidR="00000000" w:rsidRDefault="00147B1A">
      <w:pPr>
        <w:pStyle w:val="NormalWeb"/>
        <w:rPr>
          <w:rFonts w:ascii="Arial" w:hAnsi="Arial" w:cs="Arial"/>
        </w:rPr>
      </w:pPr>
      <w:r>
        <w:rPr>
          <w:rFonts w:ascii="Arial" w:hAnsi="Arial" w:cs="Arial"/>
        </w:rPr>
        <w:t>that a letter be sent to the FDA requesting the 2013 Food Code Section 3-302.11 (A) be amend</w:t>
      </w:r>
      <w:r>
        <w:rPr>
          <w:rFonts w:ascii="Arial" w:hAnsi="Arial" w:cs="Arial"/>
        </w:rPr>
        <w:t>ed and for the word "AND" to be changed to an "OR" in section (B) (7) as follows (language to be added is in underline format)</w:t>
      </w:r>
    </w:p>
    <w:p w:rsidR="00000000" w:rsidRDefault="00147B1A">
      <w:pPr>
        <w:pStyle w:val="NormalWeb"/>
        <w:rPr>
          <w:rFonts w:ascii="Arial" w:hAnsi="Arial" w:cs="Arial"/>
        </w:rPr>
      </w:pPr>
      <w:r>
        <w:rPr>
          <w:rFonts w:ascii="Arial" w:hAnsi="Arial" w:cs="Arial"/>
        </w:rPr>
        <w:t>3-302.11</w:t>
      </w:r>
    </w:p>
    <w:p w:rsidR="00000000" w:rsidRDefault="00147B1A">
      <w:pPr>
        <w:pStyle w:val="NormalWeb"/>
        <w:rPr>
          <w:rFonts w:ascii="Arial" w:hAnsi="Arial" w:cs="Arial"/>
        </w:rPr>
      </w:pPr>
      <w:r>
        <w:rPr>
          <w:rFonts w:ascii="Arial" w:hAnsi="Arial" w:cs="Arial"/>
        </w:rPr>
        <w:t>A) FOOD shall be protected from cross contamination by:</w:t>
      </w:r>
    </w:p>
    <w:p w:rsidR="00000000" w:rsidRDefault="00147B1A">
      <w:pPr>
        <w:pStyle w:val="NormalWeb"/>
        <w:rPr>
          <w:rFonts w:ascii="Arial" w:hAnsi="Arial" w:cs="Arial"/>
        </w:rPr>
      </w:pPr>
      <w:r>
        <w:rPr>
          <w:rFonts w:ascii="Arial" w:hAnsi="Arial" w:cs="Arial"/>
        </w:rPr>
        <w:t xml:space="preserve">(1) Except as specified in (1)(c) </w:t>
      </w:r>
      <w:r>
        <w:rPr>
          <w:rFonts w:ascii="Arial" w:hAnsi="Arial" w:cs="Arial"/>
          <w:u w:val="single"/>
        </w:rPr>
        <w:t xml:space="preserve">and (d) </w:t>
      </w:r>
      <w:r>
        <w:rPr>
          <w:rFonts w:ascii="Arial" w:hAnsi="Arial" w:cs="Arial"/>
        </w:rPr>
        <w:t>below, separating raw animal FOODS during storage, preparation, holding, and display from:</w:t>
      </w:r>
    </w:p>
    <w:p w:rsidR="00000000" w:rsidRDefault="00147B1A">
      <w:pPr>
        <w:pStyle w:val="NormalWeb"/>
        <w:rPr>
          <w:rFonts w:ascii="Arial" w:hAnsi="Arial" w:cs="Arial"/>
        </w:rPr>
      </w:pPr>
      <w:r>
        <w:rPr>
          <w:rFonts w:ascii="Arial" w:hAnsi="Arial" w:cs="Arial"/>
        </w:rPr>
        <w:t>(a) Raw READY-TO-EAT FOOD including other raw animal FOOD such as FISH for sushi or MOLLUSCAN SHELLFISH, or other raw READY-TO-EAT FOOD such as fruits and vegetables</w:t>
      </w:r>
      <w:r>
        <w:rPr>
          <w:rFonts w:ascii="Arial" w:hAnsi="Arial" w:cs="Arial"/>
        </w:rPr>
        <w:t xml:space="preserve">, </w:t>
      </w:r>
      <w:r>
        <w:rPr>
          <w:rFonts w:ascii="Arial" w:hAnsi="Arial" w:cs="Arial"/>
          <w:vertAlign w:val="superscript"/>
        </w:rPr>
        <w:t xml:space="preserve">P </w:t>
      </w:r>
      <w:r>
        <w:rPr>
          <w:rFonts w:ascii="Arial" w:hAnsi="Arial" w:cs="Arial"/>
        </w:rPr>
        <w:t>and</w:t>
      </w:r>
    </w:p>
    <w:p w:rsidR="00000000" w:rsidRDefault="00147B1A">
      <w:pPr>
        <w:pStyle w:val="NormalWeb"/>
        <w:rPr>
          <w:rFonts w:ascii="Arial" w:hAnsi="Arial" w:cs="Arial"/>
        </w:rPr>
      </w:pPr>
      <w:r>
        <w:rPr>
          <w:rFonts w:ascii="Arial" w:hAnsi="Arial" w:cs="Arial"/>
        </w:rPr>
        <w:t xml:space="preserve">(b) Cooked READY-TO-EAT FOOD; </w:t>
      </w:r>
      <w:r>
        <w:rPr>
          <w:rFonts w:ascii="Arial" w:hAnsi="Arial" w:cs="Arial"/>
          <w:vertAlign w:val="superscript"/>
        </w:rPr>
        <w:t xml:space="preserve">P </w:t>
      </w:r>
    </w:p>
    <w:p w:rsidR="00000000" w:rsidRDefault="00147B1A">
      <w:pPr>
        <w:pStyle w:val="NormalWeb"/>
        <w:rPr>
          <w:rFonts w:ascii="Arial" w:hAnsi="Arial" w:cs="Arial"/>
        </w:rPr>
      </w:pPr>
      <w:r>
        <w:rPr>
          <w:rFonts w:ascii="Arial" w:hAnsi="Arial" w:cs="Arial"/>
        </w:rPr>
        <w:t xml:space="preserve">(c) </w:t>
      </w:r>
      <w:r>
        <w:rPr>
          <w:rStyle w:val="Emphasis"/>
          <w:rFonts w:ascii="Arial" w:hAnsi="Arial" w:cs="Arial"/>
        </w:rPr>
        <w:t xml:space="preserve">Frozen, commercially processed and packaged raw animal FOOD may be stored or displayed with or above frozen, commercially processed and packaged, ready-to eat food. </w:t>
      </w:r>
    </w:p>
    <w:p w:rsidR="00000000" w:rsidRDefault="00147B1A">
      <w:pPr>
        <w:pStyle w:val="NormalWeb"/>
        <w:rPr>
          <w:rFonts w:ascii="Arial" w:hAnsi="Arial" w:cs="Arial"/>
        </w:rPr>
      </w:pPr>
      <w:r>
        <w:rPr>
          <w:rFonts w:ascii="Arial" w:hAnsi="Arial" w:cs="Arial"/>
          <w:u w:val="single"/>
        </w:rPr>
        <w:t>(d) Food that is adequately packaged to preve</w:t>
      </w:r>
      <w:r>
        <w:rPr>
          <w:rFonts w:ascii="Arial" w:hAnsi="Arial" w:cs="Arial"/>
          <w:u w:val="single"/>
        </w:rPr>
        <w:t>nt the entry of microbes and other contaminants such as chemicals, and displayed in a manner that would further reduce the likelihood of contamination such as a physical barrier or any other effective means.</w:t>
      </w:r>
    </w:p>
    <w:p w:rsidR="00000000" w:rsidRDefault="00147B1A">
      <w:pPr>
        <w:pStyle w:val="NormalWeb"/>
        <w:rPr>
          <w:rFonts w:ascii="Arial" w:hAnsi="Arial" w:cs="Arial"/>
        </w:rPr>
      </w:pPr>
      <w:r>
        <w:rPr>
          <w:rFonts w:ascii="Arial" w:hAnsi="Arial" w:cs="Arial"/>
        </w:rPr>
        <w:t xml:space="preserve">(2) </w:t>
      </w:r>
      <w:r>
        <w:rPr>
          <w:rStyle w:val="Emphasis"/>
          <w:rFonts w:ascii="Arial" w:hAnsi="Arial" w:cs="Arial"/>
        </w:rPr>
        <w:t>Except when combined as ingredients</w:t>
      </w:r>
      <w:r>
        <w:rPr>
          <w:rFonts w:ascii="Arial" w:hAnsi="Arial" w:cs="Arial"/>
        </w:rPr>
        <w:t>, separat</w:t>
      </w:r>
      <w:r>
        <w:rPr>
          <w:rFonts w:ascii="Arial" w:hAnsi="Arial" w:cs="Arial"/>
        </w:rPr>
        <w:t>ing types of raw animal FOODS from each other such as beef, FISH, lamb, pork, and POULTRY during storage, preparation, holding, and display by:</w:t>
      </w:r>
    </w:p>
    <w:p w:rsidR="00000000" w:rsidRDefault="00147B1A">
      <w:pPr>
        <w:pStyle w:val="NormalWeb"/>
        <w:rPr>
          <w:rFonts w:ascii="Arial" w:hAnsi="Arial" w:cs="Arial"/>
        </w:rPr>
      </w:pPr>
      <w:r>
        <w:rPr>
          <w:rFonts w:ascii="Arial" w:hAnsi="Arial" w:cs="Arial"/>
        </w:rPr>
        <w:t xml:space="preserve">(a) Using separate EQUIPMENT for each type, </w:t>
      </w:r>
      <w:r>
        <w:rPr>
          <w:rFonts w:ascii="Arial" w:hAnsi="Arial" w:cs="Arial"/>
          <w:vertAlign w:val="superscript"/>
        </w:rPr>
        <w:t xml:space="preserve">P </w:t>
      </w:r>
      <w:r>
        <w:rPr>
          <w:rFonts w:ascii="Arial" w:hAnsi="Arial" w:cs="Arial"/>
        </w:rPr>
        <w:t>or</w:t>
      </w:r>
    </w:p>
    <w:p w:rsidR="00000000" w:rsidRDefault="00147B1A">
      <w:pPr>
        <w:pStyle w:val="NormalWeb"/>
        <w:rPr>
          <w:rFonts w:ascii="Arial" w:hAnsi="Arial" w:cs="Arial"/>
        </w:rPr>
      </w:pPr>
      <w:r>
        <w:rPr>
          <w:rFonts w:ascii="Arial" w:hAnsi="Arial" w:cs="Arial"/>
        </w:rPr>
        <w:t>(b) Arranging each type of FOOD in EQUIPMENT so that cross cont</w:t>
      </w:r>
      <w:r>
        <w:rPr>
          <w:rFonts w:ascii="Arial" w:hAnsi="Arial" w:cs="Arial"/>
        </w:rPr>
        <w:t xml:space="preserve">amination of one type with another is prevented, </w:t>
      </w:r>
      <w:r>
        <w:rPr>
          <w:rFonts w:ascii="Arial" w:hAnsi="Arial" w:cs="Arial"/>
          <w:vertAlign w:val="superscript"/>
        </w:rPr>
        <w:t xml:space="preserve">P </w:t>
      </w:r>
      <w:r>
        <w:rPr>
          <w:rFonts w:ascii="Arial" w:hAnsi="Arial" w:cs="Arial"/>
        </w:rPr>
        <w:t>and</w:t>
      </w:r>
    </w:p>
    <w:p w:rsidR="00000000" w:rsidRDefault="00147B1A">
      <w:pPr>
        <w:pStyle w:val="NormalWeb"/>
        <w:rPr>
          <w:rFonts w:ascii="Arial" w:hAnsi="Arial" w:cs="Arial"/>
        </w:rPr>
      </w:pPr>
      <w:r>
        <w:rPr>
          <w:rFonts w:ascii="Arial" w:hAnsi="Arial" w:cs="Arial"/>
        </w:rPr>
        <w:t xml:space="preserve">(c) Preparing each type of FOOD at different times or in separate areas; </w:t>
      </w:r>
      <w:r>
        <w:rPr>
          <w:rFonts w:ascii="Arial" w:hAnsi="Arial" w:cs="Arial"/>
          <w:vertAlign w:val="superscript"/>
        </w:rPr>
        <w:t xml:space="preserve">P </w:t>
      </w:r>
    </w:p>
    <w:p w:rsidR="00000000" w:rsidRDefault="00147B1A">
      <w:pPr>
        <w:pStyle w:val="NormalWeb"/>
        <w:rPr>
          <w:rFonts w:ascii="Arial" w:hAnsi="Arial" w:cs="Arial"/>
        </w:rPr>
      </w:pPr>
      <w:r>
        <w:rPr>
          <w:rFonts w:ascii="Arial" w:hAnsi="Arial" w:cs="Arial"/>
        </w:rPr>
        <w:t>(3) Cleaning EQUIPMENT and UTENSILS as specified under ¶ 4-602.11(A) and SANITIZING as specified under § 4-703.11;</w:t>
      </w:r>
    </w:p>
    <w:p w:rsidR="00000000" w:rsidRDefault="00147B1A">
      <w:pPr>
        <w:pStyle w:val="NormalWeb"/>
        <w:rPr>
          <w:rFonts w:ascii="Arial" w:hAnsi="Arial" w:cs="Arial"/>
        </w:rPr>
      </w:pPr>
      <w:r>
        <w:rPr>
          <w:rFonts w:ascii="Arial" w:hAnsi="Arial" w:cs="Arial"/>
        </w:rPr>
        <w:t>(4) Except</w:t>
      </w:r>
      <w:r>
        <w:rPr>
          <w:rFonts w:ascii="Arial" w:hAnsi="Arial" w:cs="Arial"/>
        </w:rPr>
        <w:t xml:space="preserve"> as specified under Subparagraph 3-501.15(B)(2) and in ¶ (B) of this section, storing the FOOD in packages, covered containers, or wrappings;</w:t>
      </w:r>
    </w:p>
    <w:p w:rsidR="00000000" w:rsidRDefault="00147B1A">
      <w:pPr>
        <w:pStyle w:val="NormalWeb"/>
        <w:rPr>
          <w:rFonts w:ascii="Arial" w:hAnsi="Arial" w:cs="Arial"/>
        </w:rPr>
      </w:pPr>
      <w:r>
        <w:rPr>
          <w:rFonts w:ascii="Arial" w:hAnsi="Arial" w:cs="Arial"/>
        </w:rPr>
        <w:t>(5) Cleaning HERMETICALLY SEALED CONTAINERS of FOOD of visible soil before opening;</w:t>
      </w:r>
    </w:p>
    <w:p w:rsidR="00000000" w:rsidRDefault="00147B1A">
      <w:pPr>
        <w:pStyle w:val="NormalWeb"/>
        <w:rPr>
          <w:rFonts w:ascii="Arial" w:hAnsi="Arial" w:cs="Arial"/>
        </w:rPr>
      </w:pPr>
      <w:r>
        <w:rPr>
          <w:rFonts w:ascii="Arial" w:hAnsi="Arial" w:cs="Arial"/>
        </w:rPr>
        <w:lastRenderedPageBreak/>
        <w:t>(6) Protecting FOOD containers</w:t>
      </w:r>
      <w:r>
        <w:rPr>
          <w:rFonts w:ascii="Arial" w:hAnsi="Arial" w:cs="Arial"/>
        </w:rPr>
        <w:t xml:space="preserve"> that are received packaged together in a case or overwrap from cuts when the case or overwrap is opened;</w:t>
      </w:r>
    </w:p>
    <w:p w:rsidR="00000000" w:rsidRDefault="00147B1A">
      <w:pPr>
        <w:pStyle w:val="NormalWeb"/>
        <w:rPr>
          <w:rFonts w:ascii="Arial" w:hAnsi="Arial" w:cs="Arial"/>
        </w:rPr>
      </w:pPr>
      <w:r>
        <w:rPr>
          <w:rFonts w:ascii="Arial" w:hAnsi="Arial" w:cs="Arial"/>
        </w:rPr>
        <w:t xml:space="preserve">(7) Storing damaged, spoiled, or recalled FOOD being held in the FOOD ESTABLISHMENT as specified under § 6-404.11; </w:t>
      </w:r>
      <w:r>
        <w:rPr>
          <w:rFonts w:ascii="Arial" w:hAnsi="Arial" w:cs="Arial"/>
          <w:strike/>
        </w:rPr>
        <w:t xml:space="preserve">and </w:t>
      </w:r>
      <w:r>
        <w:rPr>
          <w:rFonts w:ascii="Arial" w:hAnsi="Arial" w:cs="Arial"/>
          <w:u w:val="single"/>
        </w:rPr>
        <w:t>OR</w:t>
      </w:r>
    </w:p>
    <w:p w:rsidR="00000000" w:rsidRDefault="00147B1A">
      <w:pPr>
        <w:pStyle w:val="NormalWeb"/>
        <w:rPr>
          <w:rFonts w:ascii="Arial" w:hAnsi="Arial" w:cs="Arial"/>
        </w:rPr>
      </w:pPr>
      <w:r>
        <w:rPr>
          <w:rFonts w:ascii="Arial" w:hAnsi="Arial" w:cs="Arial"/>
        </w:rPr>
        <w:t>(8) Separating fruits and vegetables, before they are washed as specified under § 3-302.15 from READY-TO-EAT FOOD.</w:t>
      </w:r>
    </w:p>
    <w:p w:rsidR="00000000" w:rsidRDefault="00147B1A">
      <w:pPr>
        <w:rPr>
          <w:rFonts w:ascii="Arial" w:eastAsia="Times New Roman" w:hAnsi="Arial" w:cs="Arial"/>
        </w:rPr>
      </w:pPr>
    </w:p>
    <w:p w:rsidR="00000000" w:rsidRDefault="00147B1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423"/>
        <w:gridCol w:w="650"/>
        <w:gridCol w:w="650"/>
      </w:tblGrid>
      <w:tr w:rsidR="00000000">
        <w:tc>
          <w:tcPr>
            <w:tcW w:w="1817" w:type="dxa"/>
            <w:hideMark/>
          </w:tcPr>
          <w:p w:rsidR="00000000" w:rsidRDefault="00147B1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47B1A">
            <w:pPr>
              <w:widowControl w:val="0"/>
              <w:rPr>
                <w:rFonts w:ascii="Arial" w:hAnsi="Arial" w:cs="Arial"/>
              </w:rPr>
            </w:pPr>
            <w:r>
              <w:rPr>
                <w:rFonts w:ascii="Arial" w:hAnsi="Arial" w:cs="Arial"/>
              </w:rPr>
              <w:t>Hilary Thesmar</w:t>
            </w:r>
          </w:p>
        </w:tc>
      </w:tr>
      <w:bookmarkEnd w:id="1"/>
      <w:tr w:rsidR="00000000">
        <w:tc>
          <w:tcPr>
            <w:tcW w:w="1817" w:type="dxa"/>
            <w:hideMark/>
          </w:tcPr>
          <w:p w:rsidR="00000000" w:rsidRDefault="00147B1A">
            <w:pPr>
              <w:widowControl w:val="0"/>
              <w:rPr>
                <w:rFonts w:ascii="Arial" w:hAnsi="Arial" w:cs="Arial"/>
              </w:rPr>
            </w:pPr>
            <w:r>
              <w:rPr>
                <w:rFonts w:ascii="Arial" w:hAnsi="Arial" w:cs="Arial"/>
              </w:rPr>
              <w:t xml:space="preserve">Organization:  </w:t>
            </w:r>
          </w:p>
        </w:tc>
        <w:tc>
          <w:tcPr>
            <w:tcW w:w="7723" w:type="dxa"/>
            <w:gridSpan w:val="3"/>
            <w:hideMark/>
          </w:tcPr>
          <w:p w:rsidR="00000000" w:rsidRDefault="00147B1A">
            <w:pPr>
              <w:widowControl w:val="0"/>
              <w:rPr>
                <w:rFonts w:ascii="Arial" w:hAnsi="Arial" w:cs="Arial"/>
              </w:rPr>
            </w:pPr>
            <w:r>
              <w:rPr>
                <w:rFonts w:ascii="Arial" w:hAnsi="Arial" w:cs="Arial"/>
              </w:rPr>
              <w:t>FMI</w:t>
            </w:r>
          </w:p>
        </w:tc>
      </w:tr>
      <w:tr w:rsidR="00000000">
        <w:tc>
          <w:tcPr>
            <w:tcW w:w="1817" w:type="dxa"/>
            <w:hideMark/>
          </w:tcPr>
          <w:p w:rsidR="00000000" w:rsidRDefault="00147B1A">
            <w:pPr>
              <w:widowControl w:val="0"/>
              <w:rPr>
                <w:rFonts w:ascii="Arial" w:hAnsi="Arial" w:cs="Arial"/>
              </w:rPr>
            </w:pPr>
            <w:r>
              <w:rPr>
                <w:rFonts w:ascii="Arial" w:hAnsi="Arial" w:cs="Arial"/>
              </w:rPr>
              <w:t>Address:</w:t>
            </w:r>
          </w:p>
        </w:tc>
        <w:tc>
          <w:tcPr>
            <w:tcW w:w="7723" w:type="dxa"/>
            <w:gridSpan w:val="3"/>
            <w:hideMark/>
          </w:tcPr>
          <w:p w:rsidR="00000000" w:rsidRDefault="00147B1A">
            <w:pPr>
              <w:widowControl w:val="0"/>
              <w:rPr>
                <w:rFonts w:ascii="Arial" w:hAnsi="Arial" w:cs="Arial"/>
              </w:rPr>
            </w:pPr>
            <w:r>
              <w:rPr>
                <w:rFonts w:ascii="Arial" w:hAnsi="Arial" w:cs="Arial"/>
              </w:rPr>
              <w:t>2345 Crystal DrSuite 800</w:t>
            </w:r>
          </w:p>
        </w:tc>
      </w:tr>
      <w:tr w:rsidR="00000000">
        <w:tc>
          <w:tcPr>
            <w:tcW w:w="1817" w:type="dxa"/>
            <w:hideMark/>
          </w:tcPr>
          <w:p w:rsidR="00000000" w:rsidRDefault="00147B1A">
            <w:pPr>
              <w:widowControl w:val="0"/>
              <w:rPr>
                <w:rFonts w:ascii="Arial" w:hAnsi="Arial" w:cs="Arial"/>
              </w:rPr>
            </w:pPr>
            <w:r>
              <w:rPr>
                <w:rFonts w:ascii="Arial" w:hAnsi="Arial" w:cs="Arial"/>
              </w:rPr>
              <w:t>City/State/Zip:</w:t>
            </w:r>
          </w:p>
        </w:tc>
        <w:tc>
          <w:tcPr>
            <w:tcW w:w="7723" w:type="dxa"/>
            <w:gridSpan w:val="3"/>
            <w:hideMark/>
          </w:tcPr>
          <w:p w:rsidR="00000000" w:rsidRDefault="00147B1A">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147B1A">
            <w:pPr>
              <w:widowControl w:val="0"/>
              <w:rPr>
                <w:rFonts w:ascii="Arial" w:hAnsi="Arial" w:cs="Arial"/>
              </w:rPr>
            </w:pPr>
            <w:r>
              <w:rPr>
                <w:rFonts w:ascii="Arial" w:hAnsi="Arial" w:cs="Arial"/>
              </w:rPr>
              <w:t>Telephone:</w:t>
            </w:r>
          </w:p>
        </w:tc>
        <w:tc>
          <w:tcPr>
            <w:tcW w:w="1963" w:type="dxa"/>
            <w:hideMark/>
          </w:tcPr>
          <w:p w:rsidR="00000000" w:rsidRDefault="00147B1A">
            <w:pPr>
              <w:widowControl w:val="0"/>
              <w:rPr>
                <w:rFonts w:ascii="Arial" w:hAnsi="Arial" w:cs="Arial"/>
              </w:rPr>
            </w:pPr>
            <w:r>
              <w:rPr>
                <w:rFonts w:ascii="Arial" w:hAnsi="Arial" w:cs="Arial"/>
              </w:rPr>
              <w:t>202-220-0658</w:t>
            </w:r>
          </w:p>
        </w:tc>
        <w:tc>
          <w:tcPr>
            <w:tcW w:w="0" w:type="auto"/>
            <w:vAlign w:val="center"/>
            <w:hideMark/>
          </w:tcPr>
          <w:p w:rsidR="00000000" w:rsidRDefault="00147B1A">
            <w:pPr>
              <w:rPr>
                <w:rFonts w:eastAsia="Times New Roman"/>
                <w:sz w:val="20"/>
                <w:szCs w:val="20"/>
              </w:rPr>
            </w:pPr>
          </w:p>
        </w:tc>
        <w:tc>
          <w:tcPr>
            <w:tcW w:w="0" w:type="auto"/>
            <w:vAlign w:val="center"/>
            <w:hideMark/>
          </w:tcPr>
          <w:p w:rsidR="00000000" w:rsidRDefault="00147B1A">
            <w:pPr>
              <w:rPr>
                <w:rFonts w:eastAsia="Times New Roman"/>
                <w:sz w:val="20"/>
                <w:szCs w:val="20"/>
              </w:rPr>
            </w:pPr>
          </w:p>
        </w:tc>
      </w:tr>
      <w:tr w:rsidR="00000000">
        <w:trPr>
          <w:trHeight w:val="260"/>
        </w:trPr>
        <w:tc>
          <w:tcPr>
            <w:tcW w:w="1817" w:type="dxa"/>
            <w:hideMark/>
          </w:tcPr>
          <w:p w:rsidR="00000000" w:rsidRDefault="00147B1A">
            <w:pPr>
              <w:widowControl w:val="0"/>
              <w:rPr>
                <w:rFonts w:ascii="Arial" w:hAnsi="Arial" w:cs="Arial"/>
              </w:rPr>
            </w:pPr>
            <w:r>
              <w:rPr>
                <w:rFonts w:ascii="Arial" w:hAnsi="Arial" w:cs="Arial"/>
              </w:rPr>
              <w:t>E-mail:</w:t>
            </w:r>
          </w:p>
        </w:tc>
        <w:tc>
          <w:tcPr>
            <w:tcW w:w="1963" w:type="dxa"/>
            <w:hideMark/>
          </w:tcPr>
          <w:p w:rsidR="00000000" w:rsidRDefault="00147B1A">
            <w:pPr>
              <w:widowControl w:val="0"/>
              <w:rPr>
                <w:rFonts w:ascii="Arial" w:hAnsi="Arial" w:cs="Arial"/>
              </w:rPr>
            </w:pPr>
            <w:r>
              <w:rPr>
                <w:rFonts w:ascii="Arial" w:hAnsi="Arial" w:cs="Arial"/>
              </w:rPr>
              <w:t>hthesmar@fmi.org</w:t>
            </w:r>
          </w:p>
        </w:tc>
        <w:tc>
          <w:tcPr>
            <w:tcW w:w="0" w:type="auto"/>
            <w:vAlign w:val="center"/>
            <w:hideMark/>
          </w:tcPr>
          <w:p w:rsidR="00000000" w:rsidRDefault="00147B1A">
            <w:pPr>
              <w:rPr>
                <w:rFonts w:eastAsia="Times New Roman"/>
                <w:sz w:val="20"/>
                <w:szCs w:val="20"/>
              </w:rPr>
            </w:pPr>
          </w:p>
        </w:tc>
        <w:tc>
          <w:tcPr>
            <w:tcW w:w="0" w:type="auto"/>
            <w:vAlign w:val="center"/>
            <w:hideMark/>
          </w:tcPr>
          <w:p w:rsidR="00000000" w:rsidRDefault="00147B1A">
            <w:pPr>
              <w:rPr>
                <w:rFonts w:eastAsia="Times New Roman"/>
                <w:sz w:val="20"/>
                <w:szCs w:val="20"/>
              </w:rPr>
            </w:pPr>
          </w:p>
        </w:tc>
      </w:tr>
    </w:tbl>
    <w:p w:rsidR="00000000" w:rsidRDefault="00147B1A">
      <w:pPr>
        <w:rPr>
          <w:rFonts w:ascii="Arial" w:hAnsi="Arial" w:cs="Arial"/>
          <w:b/>
        </w:rPr>
      </w:pPr>
    </w:p>
    <w:p w:rsidR="00000000" w:rsidRDefault="00147B1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147B1A"/>
    <w:rsid w:val="0014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Company>Conference for Food Safety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