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D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D3D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0D3D98">
      <w:pPr>
        <w:rPr>
          <w:rFonts w:ascii="Arial" w:hAnsi="Arial" w:cs="Arial"/>
          <w:b/>
        </w:rPr>
      </w:pPr>
    </w:p>
    <w:p w:rsidR="00000000" w:rsidRDefault="000D3D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001</w:t>
      </w:r>
    </w:p>
    <w:p w:rsidR="00000000" w:rsidRDefault="000D3D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II-017</w:t>
      </w:r>
    </w:p>
    <w:p w:rsidR="00000000" w:rsidRDefault="000D3D98">
      <w:pPr>
        <w:rPr>
          <w:rFonts w:ascii="Arial" w:hAnsi="Arial" w:cs="Arial"/>
          <w:b/>
        </w:rPr>
      </w:pPr>
    </w:p>
    <w:p w:rsidR="00000000" w:rsidRDefault="000D3D98">
      <w:pPr>
        <w:rPr>
          <w:rFonts w:ascii="Arial" w:hAnsi="Arial" w:cs="Arial"/>
          <w:b/>
        </w:rPr>
      </w:pPr>
    </w:p>
    <w:p w:rsidR="00000000" w:rsidRDefault="000D3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Program Standards Proposed Changes 2-CFP Governing Documents</w:t>
      </w:r>
    </w:p>
    <w:p w:rsidR="00000000" w:rsidRDefault="000D3D98">
      <w:pPr>
        <w:rPr>
          <w:rFonts w:ascii="Arial" w:eastAsia="Times New Roman" w:hAnsi="Arial" w:cs="Arial"/>
        </w:rPr>
      </w:pPr>
    </w:p>
    <w:p w:rsidR="00000000" w:rsidRDefault="000D3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modification language to the CFP Governing Documents be incorporated as follows: (new language is underlined; language to be deleted is in strikethrough):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1.) </w:t>
      </w:r>
      <w:r>
        <w:rPr>
          <w:rFonts w:ascii="Arial" w:hAnsi="Arial" w:cs="Arial"/>
        </w:rPr>
        <w:t>Amending the CFP Constitution and Bylaws</w:t>
      </w:r>
      <w:r>
        <w:rPr>
          <w:rStyle w:val="Strong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b/>
          <w:bCs/>
        </w:rPr>
        <w:t>Article XIV</w:t>
      </w:r>
      <w:r>
        <w:rPr>
          <w:rStyle w:val="Emphasis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i/>
          <w:iCs/>
        </w:rPr>
        <w:t xml:space="preserve">Committees </w:t>
      </w:r>
      <w:r>
        <w:rPr>
          <w:rFonts w:ascii="Arial" w:hAnsi="Arial" w:cs="Arial"/>
        </w:rPr>
        <w:t>by adding a new subsection in Sec</w:t>
      </w:r>
      <w:r>
        <w:rPr>
          <w:rFonts w:ascii="Arial" w:hAnsi="Arial" w:cs="Arial"/>
        </w:rPr>
        <w:t>ton 2. and subsequent renumbering as follows:</w:t>
      </w:r>
      <w:r>
        <w:rPr>
          <w:rStyle w:val="Strong"/>
          <w:rFonts w:ascii="Arial" w:hAnsi="Arial" w:cs="Arial"/>
        </w:rPr>
        <w:t xml:space="preserve"> 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2. </w:t>
      </w:r>
      <w:r>
        <w:rPr>
          <w:rFonts w:ascii="Arial" w:hAnsi="Arial" w:cs="Arial"/>
        </w:rPr>
        <w:t xml:space="preserve">The following standing committees shall be established: </w:t>
      </w:r>
      <w:r>
        <w:rPr>
          <w:rFonts w:ascii="Arial" w:hAnsi="Arial" w:cs="Arial"/>
        </w:rPr>
        <w:br/>
      </w:r>
      <w:r>
        <w:rPr>
          <w:rStyle w:val="Emphasis"/>
          <w:rFonts w:ascii="Arial" w:hAnsi="Arial" w:cs="Arial"/>
          <w:b/>
          <w:bCs/>
        </w:rPr>
        <w:t xml:space="preserve">Subsection 1. </w:t>
      </w:r>
      <w:r>
        <w:rPr>
          <w:rFonts w:ascii="Arial" w:hAnsi="Arial" w:cs="Arial"/>
        </w:rPr>
        <w:t>Audit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2. </w:t>
      </w:r>
      <w:r>
        <w:rPr>
          <w:rFonts w:ascii="Arial" w:hAnsi="Arial" w:cs="Arial"/>
        </w:rPr>
        <w:t>Constitution and Bylaws/Procedures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Subsection 3</w:t>
      </w:r>
      <w:r>
        <w:rPr>
          <w:rFonts w:ascii="Arial" w:hAnsi="Arial" w:cs="Arial"/>
        </w:rPr>
        <w:t>. Issue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4. </w:t>
      </w:r>
      <w:r>
        <w:rPr>
          <w:rFonts w:ascii="Arial" w:hAnsi="Arial" w:cs="Arial"/>
        </w:rPr>
        <w:t>Manag</w:t>
      </w:r>
      <w:r>
        <w:rPr>
          <w:rFonts w:ascii="Arial" w:hAnsi="Arial" w:cs="Arial"/>
        </w:rPr>
        <w:t>ers Training, Testing and Certification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5. </w:t>
      </w:r>
      <w:r>
        <w:rPr>
          <w:rFonts w:ascii="Arial" w:hAnsi="Arial" w:cs="Arial"/>
        </w:rPr>
        <w:t>Nominating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6. </w:t>
      </w:r>
      <w:r>
        <w:rPr>
          <w:rFonts w:ascii="Arial" w:hAnsi="Arial" w:cs="Arial"/>
        </w:rPr>
        <w:t>Program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Subsection</w:t>
      </w:r>
      <w:r>
        <w:rPr>
          <w:rStyle w:val="Emphasis"/>
          <w:rFonts w:ascii="Arial" w:hAnsi="Arial" w:cs="Arial"/>
          <w:b/>
          <w:bCs/>
        </w:rPr>
        <w:t xml:space="preserve"> </w:t>
      </w:r>
      <w:r>
        <w:rPr>
          <w:rStyle w:val="Emphasis"/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Program Standards Committee;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</w:t>
      </w:r>
      <w:r>
        <w:rPr>
          <w:rStyle w:val="Emphasis"/>
          <w:rFonts w:ascii="Arial" w:hAnsi="Arial" w:cs="Arial"/>
          <w:b/>
          <w:bCs/>
          <w:strike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8.</w:t>
      </w:r>
      <w:r>
        <w:rPr>
          <w:rFonts w:ascii="Arial" w:hAnsi="Arial" w:cs="Arial"/>
        </w:rPr>
        <w:t xml:space="preserve"> Resolutions Committee; and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Subsection </w:t>
      </w:r>
      <w:r>
        <w:rPr>
          <w:rStyle w:val="Emphasis"/>
          <w:rFonts w:ascii="Arial" w:hAnsi="Arial" w:cs="Arial"/>
          <w:b/>
          <w:bCs/>
          <w:strike/>
        </w:rPr>
        <w:t>8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Style w:val="Emphasis"/>
          <w:rFonts w:ascii="Arial" w:hAnsi="Arial" w:cs="Arial"/>
          <w:b/>
          <w:bCs/>
          <w:u w:val="single"/>
        </w:rPr>
        <w:t>9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Strategic Planning Committee.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2.</w:t>
      </w:r>
      <w:r>
        <w:rPr>
          <w:rStyle w:val="Strong"/>
          <w:rFonts w:ascii="Arial" w:hAnsi="Arial" w:cs="Arial"/>
        </w:rPr>
        <w:t>)</w:t>
      </w:r>
      <w:r>
        <w:rPr>
          <w:rFonts w:ascii="Arial" w:hAnsi="Arial" w:cs="Arial"/>
        </w:rPr>
        <w:t xml:space="preserve"> Amending the CFP Constitution and Bylaws </w:t>
      </w:r>
      <w:r>
        <w:rPr>
          <w:rStyle w:val="Emphasis"/>
          <w:rFonts w:ascii="Arial" w:hAnsi="Arial" w:cs="Arial"/>
          <w:b/>
          <w:bCs/>
        </w:rPr>
        <w:t xml:space="preserve">Article XV Duties of the Committees </w:t>
      </w:r>
      <w:r>
        <w:rPr>
          <w:rFonts w:ascii="Arial" w:hAnsi="Arial" w:cs="Arial"/>
        </w:rPr>
        <w:t>by adding new language in Section 7., and subsequent renumbering of Sections 7-9. The new Section is as follows: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</w:t>
      </w:r>
      <w:r>
        <w:rPr>
          <w:rStyle w:val="Strong"/>
          <w:rFonts w:ascii="Arial" w:hAnsi="Arial" w:cs="Arial"/>
          <w:u w:val="single"/>
        </w:rPr>
        <w:t>7.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The Program Standards Committee shall report to the B</w:t>
      </w:r>
      <w:r>
        <w:rPr>
          <w:rFonts w:ascii="Arial" w:hAnsi="Arial" w:cs="Arial"/>
          <w:u w:val="single"/>
        </w:rPr>
        <w:t xml:space="preserve">oard. The Program Standards Committee shall provide ongoing input to the FDA on issues that arise with the Voluntary National Retail Food Regulatory Program Standards. 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lastRenderedPageBreak/>
        <w:t>Subsection 1</w:t>
      </w:r>
      <w:r>
        <w:rPr>
          <w:rStyle w:val="Emphasis"/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u w:val="single"/>
        </w:rPr>
        <w:t>The Committee shall serve the Conference by indirectly assisting Voluntar</w:t>
      </w:r>
      <w:r>
        <w:rPr>
          <w:rFonts w:ascii="Arial" w:hAnsi="Arial" w:cs="Arial"/>
          <w:u w:val="single"/>
        </w:rPr>
        <w:t>y National Retail Food Regulatory Program Standards enrollees in making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progress towards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meeting the Standards.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3.)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Amending the Biennial Meeting/Conference Procedures Manual by adding new language in Section VIII B. 1. The new Section will read as follows: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VIII. Committees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Standing Committees</w:t>
      </w:r>
    </w:p>
    <w:p w:rsidR="00000000" w:rsidRDefault="000D3D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The following standing committees shall be established: the Audit Commi</w:t>
      </w:r>
      <w:r>
        <w:rPr>
          <w:rFonts w:ascii="Arial" w:hAnsi="Arial" w:cs="Arial"/>
        </w:rPr>
        <w:t xml:space="preserve">ttee; Constitution and Bylaws/Procedures Committee; Issues Committee; Managers Training, Testing, and Certification Committee; Nominating Committee; Program Committee; </w:t>
      </w:r>
      <w:r>
        <w:rPr>
          <w:rFonts w:ascii="Arial" w:hAnsi="Arial" w:cs="Arial"/>
          <w:u w:val="single"/>
        </w:rPr>
        <w:t>Program Standards Committee</w:t>
      </w:r>
      <w:r>
        <w:rPr>
          <w:rFonts w:ascii="Arial" w:hAnsi="Arial" w:cs="Arial"/>
        </w:rPr>
        <w:t>; Resolutions Committee; and Strategic Planning Committee.</w:t>
      </w:r>
    </w:p>
    <w:p w:rsidR="00000000" w:rsidRDefault="000D3D98">
      <w:pPr>
        <w:rPr>
          <w:rFonts w:ascii="Arial" w:eastAsia="Times New Roman" w:hAnsi="Arial" w:cs="Arial"/>
        </w:rPr>
      </w:pPr>
    </w:p>
    <w:p w:rsidR="00000000" w:rsidRDefault="000D3D98">
      <w:pPr>
        <w:rPr>
          <w:rFonts w:ascii="Arial" w:hAnsi="Arial" w:cs="Arial"/>
          <w:b/>
        </w:rPr>
      </w:pPr>
    </w:p>
    <w:p w:rsidR="00000000" w:rsidRDefault="000D3D9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D3D98"/>
    <w:rsid w:val="000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1955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