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EA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B4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B4EA3">
      <w:pPr>
        <w:rPr>
          <w:rFonts w:ascii="Arial" w:hAnsi="Arial" w:cs="Arial"/>
          <w:b/>
        </w:rPr>
      </w:pPr>
    </w:p>
    <w:p w:rsidR="00000000" w:rsidRDefault="009B4EA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083</w:t>
      </w:r>
    </w:p>
    <w:p w:rsidR="00000000" w:rsidRDefault="009B4EA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I-040</w:t>
      </w:r>
    </w:p>
    <w:p w:rsidR="00000000" w:rsidRDefault="009B4EA3">
      <w:pPr>
        <w:rPr>
          <w:rFonts w:ascii="Arial" w:hAnsi="Arial" w:cs="Arial"/>
          <w:b/>
        </w:rPr>
      </w:pPr>
    </w:p>
    <w:p w:rsidR="00000000" w:rsidRDefault="009B4EA3">
      <w:pPr>
        <w:rPr>
          <w:rFonts w:ascii="Arial" w:hAnsi="Arial" w:cs="Arial"/>
          <w:b/>
        </w:rPr>
      </w:pPr>
    </w:p>
    <w:p w:rsidR="00000000" w:rsidRDefault="009B4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Packaged Food Labeling Clarification</w:t>
      </w:r>
    </w:p>
    <w:p w:rsidR="00000000" w:rsidRDefault="009B4EA3">
      <w:pPr>
        <w:rPr>
          <w:rFonts w:ascii="Arial" w:eastAsia="Times New Roman" w:hAnsi="Arial" w:cs="Arial"/>
        </w:rPr>
      </w:pPr>
    </w:p>
    <w:p w:rsidR="00000000" w:rsidRDefault="009B4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follows: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The FDA reinforces the legal definition of "packaged" in Section 1-201.10 (2), regarding the difference between durable </w:t>
      </w:r>
      <w:r>
        <w:rPr>
          <w:rFonts w:ascii="Arial" w:hAnsi="Arial" w:cs="Arial"/>
        </w:rPr>
        <w:t>and non-durable packaging.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The FDA adds language similar to the following to the next 2013 Food Code, Annex section 3 - Public Health Reasons/ Administrative Guidelines; Chapter 1 - Purpose and Definitions, that describes the circumstances that labeling</w:t>
      </w:r>
      <w:r>
        <w:rPr>
          <w:rFonts w:ascii="Arial" w:hAnsi="Arial" w:cs="Arial"/>
        </w:rPr>
        <w:t xml:space="preserve"> of foods in non-durable packaging is exempt: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Foods in non-durable packaging held in a cold display unit in the service line are available to the customer in a self-service format. Foodservice employees and/ or information are available to address ingre</w:t>
      </w:r>
      <w:r>
        <w:rPr>
          <w:rFonts w:ascii="Arial" w:hAnsi="Arial" w:cs="Arial"/>
        </w:rPr>
        <w:t>dient questions.</w:t>
      </w:r>
    </w:p>
    <w:p w:rsidR="00000000" w:rsidRDefault="009B4E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"Grab-n-go" type items in kiosks in the front of a restaurant are available as a convenience to the customer in a self-service format. Foodservice employees and/ or information are available to address ingredient questions.</w:t>
      </w:r>
    </w:p>
    <w:p w:rsidR="00000000" w:rsidRDefault="009B4EA3">
      <w:pPr>
        <w:rPr>
          <w:rFonts w:ascii="Arial" w:eastAsia="Times New Roman" w:hAnsi="Arial" w:cs="Arial"/>
        </w:rPr>
      </w:pPr>
    </w:p>
    <w:p w:rsidR="00000000" w:rsidRDefault="009B4EA3">
      <w:pPr>
        <w:rPr>
          <w:rFonts w:ascii="Arial" w:hAnsi="Arial" w:cs="Arial"/>
          <w:b/>
        </w:rPr>
      </w:pPr>
    </w:p>
    <w:p w:rsidR="009B4EA3" w:rsidRDefault="009B4EA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</w:t>
      </w:r>
      <w:r>
        <w:rPr>
          <w:rStyle w:val="Emphasis"/>
          <w:rFonts w:ascii="Arial" w:hAnsi="Arial" w:cs="Arial"/>
          <w:sz w:val="20"/>
          <w:szCs w:val="20"/>
        </w:rPr>
        <w:t>policy of the Conference for Food Protection to not accept Issues that would endorse a brand name or a commercial proprietary process.</w:t>
      </w:r>
    </w:p>
    <w:sectPr w:rsidR="009B4EA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77651"/>
    <w:rsid w:val="00077651"/>
    <w:rsid w:val="009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