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1D34">
      <w:pPr>
        <w:jc w:val="center"/>
        <w:rPr>
          <w:rFonts w:ascii="Arial" w:hAnsi="Arial" w:cs="Arial"/>
          <w:b/>
        </w:rPr>
      </w:pPr>
      <w:bookmarkStart w:id="0" w:name="_GoBack"/>
      <w:bookmarkEnd w:id="0"/>
      <w:r>
        <w:rPr>
          <w:rFonts w:ascii="Arial" w:hAnsi="Arial" w:cs="Arial"/>
          <w:b/>
        </w:rPr>
        <w:t>Conference for Food Protection</w:t>
      </w:r>
    </w:p>
    <w:p w:rsidR="00000000" w:rsidRDefault="00FC1D34">
      <w:pPr>
        <w:jc w:val="center"/>
        <w:rPr>
          <w:rFonts w:ascii="Arial" w:hAnsi="Arial" w:cs="Arial"/>
          <w:b/>
        </w:rPr>
      </w:pPr>
      <w:r>
        <w:rPr>
          <w:rFonts w:ascii="Arial" w:hAnsi="Arial" w:cs="Arial"/>
          <w:b/>
        </w:rPr>
        <w:t>2012 Issue Form</w:t>
      </w:r>
    </w:p>
    <w:p w:rsidR="00000000" w:rsidRDefault="00FC1D34">
      <w:pPr>
        <w:rPr>
          <w:rFonts w:ascii="Arial" w:hAnsi="Arial" w:cs="Arial"/>
          <w:b/>
        </w:rPr>
      </w:pPr>
    </w:p>
    <w:p w:rsidR="00000000" w:rsidRDefault="00FC1D34">
      <w:pPr>
        <w:jc w:val="right"/>
        <w:rPr>
          <w:rFonts w:ascii="Arial" w:hAnsi="Arial" w:cs="Arial"/>
          <w:b/>
        </w:rPr>
      </w:pPr>
      <w:r>
        <w:rPr>
          <w:rFonts w:ascii="Arial" w:hAnsi="Arial" w:cs="Arial"/>
          <w:b/>
        </w:rPr>
        <w:t>Internal Number: 056</w:t>
      </w:r>
    </w:p>
    <w:p w:rsidR="00000000" w:rsidRDefault="00FC1D34">
      <w:pPr>
        <w:jc w:val="right"/>
        <w:rPr>
          <w:rFonts w:ascii="Arial" w:hAnsi="Arial" w:cs="Arial"/>
          <w:b/>
        </w:rPr>
      </w:pPr>
      <w:r>
        <w:rPr>
          <w:rFonts w:ascii="Arial" w:hAnsi="Arial" w:cs="Arial"/>
          <w:b/>
        </w:rPr>
        <w:t>Issue: 2012 I-032</w:t>
      </w:r>
    </w:p>
    <w:p w:rsidR="00000000" w:rsidRDefault="00FC1D3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C1D3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C1D34">
            <w:pPr>
              <w:rPr>
                <w:rFonts w:ascii="Arial" w:hAnsi="Arial" w:cs="Arial"/>
              </w:rPr>
            </w:pPr>
            <w:r>
              <w:rPr>
                <w:rFonts w:ascii="Arial" w:hAnsi="Arial" w:cs="Arial"/>
              </w:rPr>
              <w:t>Accepted as</w:t>
            </w:r>
          </w:p>
          <w:p w:rsidR="00000000" w:rsidRDefault="00FC1D3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C1D34">
            <w:pPr>
              <w:rPr>
                <w:rFonts w:ascii="Arial" w:hAnsi="Arial" w:cs="Arial"/>
                <w:b/>
              </w:rPr>
            </w:pPr>
          </w:p>
        </w:tc>
        <w:tc>
          <w:tcPr>
            <w:tcW w:w="1728" w:type="dxa"/>
            <w:tcBorders>
              <w:top w:val="nil"/>
              <w:left w:val="nil"/>
              <w:bottom w:val="nil"/>
              <w:right w:val="nil"/>
            </w:tcBorders>
            <w:vAlign w:val="bottom"/>
            <w:hideMark/>
          </w:tcPr>
          <w:p w:rsidR="00000000" w:rsidRDefault="00FC1D3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C1D34">
            <w:pPr>
              <w:rPr>
                <w:rFonts w:ascii="Arial" w:hAnsi="Arial" w:cs="Arial"/>
                <w:b/>
              </w:rPr>
            </w:pPr>
          </w:p>
        </w:tc>
        <w:tc>
          <w:tcPr>
            <w:tcW w:w="1584" w:type="dxa"/>
            <w:tcBorders>
              <w:top w:val="nil"/>
              <w:left w:val="nil"/>
              <w:bottom w:val="nil"/>
              <w:right w:val="nil"/>
            </w:tcBorders>
            <w:vAlign w:val="bottom"/>
          </w:tcPr>
          <w:p w:rsidR="00000000" w:rsidRDefault="00FC1D34">
            <w:pPr>
              <w:rPr>
                <w:rFonts w:ascii="Arial" w:hAnsi="Arial" w:cs="Arial"/>
                <w:b/>
              </w:rPr>
            </w:pPr>
          </w:p>
          <w:p w:rsidR="00000000" w:rsidRDefault="00FC1D3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C1D3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C1D3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C1D3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C1D34">
            <w:pPr>
              <w:rPr>
                <w:rFonts w:ascii="Arial" w:hAnsi="Arial" w:cs="Arial"/>
                <w:b/>
              </w:rPr>
            </w:pPr>
          </w:p>
        </w:tc>
        <w:tc>
          <w:tcPr>
            <w:tcW w:w="1728" w:type="dxa"/>
            <w:tcBorders>
              <w:top w:val="nil"/>
              <w:left w:val="nil"/>
              <w:bottom w:val="nil"/>
              <w:right w:val="nil"/>
            </w:tcBorders>
            <w:vAlign w:val="bottom"/>
            <w:hideMark/>
          </w:tcPr>
          <w:p w:rsidR="00000000" w:rsidRDefault="00FC1D3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C1D34">
            <w:pPr>
              <w:rPr>
                <w:rFonts w:ascii="Arial" w:hAnsi="Arial" w:cs="Arial"/>
                <w:b/>
              </w:rPr>
            </w:pPr>
          </w:p>
        </w:tc>
        <w:tc>
          <w:tcPr>
            <w:tcW w:w="1584" w:type="dxa"/>
            <w:tcBorders>
              <w:top w:val="nil"/>
              <w:left w:val="nil"/>
              <w:bottom w:val="nil"/>
              <w:right w:val="nil"/>
            </w:tcBorders>
            <w:vAlign w:val="bottom"/>
          </w:tcPr>
          <w:p w:rsidR="00000000" w:rsidRDefault="00FC1D34">
            <w:pPr>
              <w:pStyle w:val="Heading1"/>
              <w:jc w:val="left"/>
              <w:rPr>
                <w:rFonts w:cs="Arial"/>
                <w:szCs w:val="24"/>
              </w:rPr>
            </w:pPr>
          </w:p>
        </w:tc>
        <w:tc>
          <w:tcPr>
            <w:tcW w:w="720" w:type="dxa"/>
            <w:tcBorders>
              <w:top w:val="nil"/>
              <w:left w:val="nil"/>
              <w:bottom w:val="nil"/>
              <w:right w:val="nil"/>
            </w:tcBorders>
            <w:vAlign w:val="bottom"/>
          </w:tcPr>
          <w:p w:rsidR="00000000" w:rsidRDefault="00FC1D34">
            <w:pPr>
              <w:rPr>
                <w:rFonts w:ascii="Arial" w:hAnsi="Arial" w:cs="Arial"/>
                <w:b/>
              </w:rPr>
            </w:pPr>
          </w:p>
        </w:tc>
      </w:tr>
    </w:tbl>
    <w:p w:rsidR="00000000" w:rsidRDefault="00FC1D3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C1D34">
      <w:pPr>
        <w:rPr>
          <w:rFonts w:ascii="Arial" w:hAnsi="Arial" w:cs="Arial"/>
          <w:b/>
        </w:rPr>
      </w:pPr>
    </w:p>
    <w:p w:rsidR="00000000" w:rsidRDefault="00FC1D34">
      <w:pPr>
        <w:rPr>
          <w:rFonts w:ascii="Arial" w:hAnsi="Arial" w:cs="Arial"/>
          <w:b/>
        </w:rPr>
      </w:pPr>
      <w:r>
        <w:rPr>
          <w:rFonts w:ascii="Arial" w:hAnsi="Arial" w:cs="Arial"/>
          <w:b/>
        </w:rPr>
        <w:t>Title:</w:t>
      </w:r>
    </w:p>
    <w:p w:rsidR="00000000" w:rsidRDefault="00FC1D34">
      <w:pPr>
        <w:pStyle w:val="NormalWeb"/>
        <w:rPr>
          <w:rFonts w:ascii="Arial" w:hAnsi="Arial" w:cs="Arial"/>
        </w:rPr>
      </w:pPr>
      <w:r>
        <w:rPr>
          <w:rFonts w:ascii="Arial" w:hAnsi="Arial" w:cs="Arial"/>
        </w:rPr>
        <w:t>Allowance for a Direct Drain Connection in Warewashing Equipment</w:t>
      </w:r>
    </w:p>
    <w:p w:rsidR="00000000" w:rsidRDefault="00FC1D34">
      <w:pPr>
        <w:rPr>
          <w:rFonts w:ascii="Arial" w:eastAsia="Times New Roman" w:hAnsi="Arial" w:cs="Arial"/>
        </w:rPr>
      </w:pPr>
    </w:p>
    <w:p w:rsidR="00000000" w:rsidRDefault="00FC1D34">
      <w:pPr>
        <w:rPr>
          <w:rFonts w:ascii="Arial" w:hAnsi="Arial" w:cs="Arial"/>
          <w:b/>
        </w:rPr>
      </w:pPr>
      <w:r>
        <w:rPr>
          <w:rFonts w:ascii="Arial" w:hAnsi="Arial" w:cs="Arial"/>
          <w:b/>
        </w:rPr>
        <w:t>Issue you would like the Conference to consider:</w:t>
      </w:r>
    </w:p>
    <w:p w:rsidR="00000000" w:rsidRDefault="00FC1D34">
      <w:pPr>
        <w:pStyle w:val="NormalWeb"/>
        <w:rPr>
          <w:rFonts w:ascii="Arial" w:hAnsi="Arial" w:cs="Arial"/>
        </w:rPr>
      </w:pPr>
      <w:r>
        <w:rPr>
          <w:rFonts w:ascii="Arial" w:hAnsi="Arial" w:cs="Arial"/>
        </w:rPr>
        <w:t>Deleting the prohibition of a direct drain connection for warewashing sink</w:t>
      </w:r>
      <w:r>
        <w:rPr>
          <w:rFonts w:ascii="Arial" w:hAnsi="Arial" w:cs="Arial"/>
        </w:rPr>
        <w:t>s or warewashing machines from Section 5-402.11 of the 2009 FDA Food Code (as modified by the Supplement issued in 2011). This prohibition is in direct conflict with the major model plumbing codes such as the Universal Plumbing Code and the International P</w:t>
      </w:r>
      <w:r>
        <w:rPr>
          <w:rFonts w:ascii="Arial" w:hAnsi="Arial" w:cs="Arial"/>
        </w:rPr>
        <w:t>lumbing Code. Many localities adopt these codes, and this creates a tiered system whereby food establishments in localities without a plumbing code must submit to a requirement that establishments in areas with plumbing codes are often required not to comp</w:t>
      </w:r>
      <w:r>
        <w:rPr>
          <w:rFonts w:ascii="Arial" w:hAnsi="Arial" w:cs="Arial"/>
        </w:rPr>
        <w:t>ly with. In warewashing, the final step in the process is a sanitizing step with a solution with residual sanitizer or high temperature water. This step acts as a "fail-safe" to overcome the risk of an unnoticed sewage backup in the sink.</w:t>
      </w:r>
    </w:p>
    <w:p w:rsidR="00000000" w:rsidRDefault="00FC1D34">
      <w:pPr>
        <w:rPr>
          <w:rFonts w:ascii="Arial" w:eastAsia="Times New Roman" w:hAnsi="Arial" w:cs="Arial"/>
        </w:rPr>
      </w:pPr>
    </w:p>
    <w:p w:rsidR="00000000" w:rsidRDefault="00FC1D34">
      <w:pPr>
        <w:rPr>
          <w:rFonts w:ascii="Arial" w:hAnsi="Arial" w:cs="Arial"/>
          <w:b/>
        </w:rPr>
      </w:pPr>
      <w:r>
        <w:rPr>
          <w:rFonts w:ascii="Arial" w:hAnsi="Arial" w:cs="Arial"/>
          <w:b/>
        </w:rPr>
        <w:t>Public Health Si</w:t>
      </w:r>
      <w:r>
        <w:rPr>
          <w:rFonts w:ascii="Arial" w:hAnsi="Arial" w:cs="Arial"/>
          <w:b/>
        </w:rPr>
        <w:t>gnificance:</w:t>
      </w:r>
    </w:p>
    <w:p w:rsidR="00000000" w:rsidRDefault="00FC1D34">
      <w:pPr>
        <w:pStyle w:val="NormalWeb"/>
        <w:rPr>
          <w:rFonts w:ascii="Arial" w:hAnsi="Arial" w:cs="Arial"/>
        </w:rPr>
      </w:pPr>
      <w:r>
        <w:rPr>
          <w:rFonts w:ascii="Arial" w:hAnsi="Arial" w:cs="Arial"/>
        </w:rPr>
        <w:t>There is minimal risk to public health from allowing a direct drain connection in a warewashing sink.</w:t>
      </w:r>
    </w:p>
    <w:p w:rsidR="00000000" w:rsidRDefault="00FC1D34">
      <w:pPr>
        <w:rPr>
          <w:rFonts w:ascii="Arial" w:eastAsia="Times New Roman" w:hAnsi="Arial" w:cs="Arial"/>
        </w:rPr>
      </w:pPr>
    </w:p>
    <w:p w:rsidR="00000000" w:rsidRDefault="00FC1D34">
      <w:pPr>
        <w:rPr>
          <w:rFonts w:ascii="Arial" w:hAnsi="Arial" w:cs="Arial"/>
          <w:b/>
        </w:rPr>
      </w:pPr>
      <w:r>
        <w:rPr>
          <w:rFonts w:ascii="Arial" w:hAnsi="Arial" w:cs="Arial"/>
          <w:b/>
        </w:rPr>
        <w:t>Recommended Solution: The Conference recommends...:</w:t>
      </w:r>
    </w:p>
    <w:p w:rsidR="00000000" w:rsidRDefault="00FC1D34">
      <w:pPr>
        <w:pStyle w:val="NormalWeb"/>
        <w:rPr>
          <w:rFonts w:ascii="Arial" w:hAnsi="Arial" w:cs="Arial"/>
        </w:rPr>
      </w:pPr>
      <w:r>
        <w:rPr>
          <w:rFonts w:ascii="Arial" w:hAnsi="Arial" w:cs="Arial"/>
        </w:rPr>
        <w:t xml:space="preserve">that a letter be sent to the FDA requesting an amendment to Section 5-402.11 of the 2009 </w:t>
      </w:r>
      <w:r>
        <w:rPr>
          <w:rFonts w:ascii="Arial" w:hAnsi="Arial" w:cs="Arial"/>
        </w:rPr>
        <w:t>Food Code (as modified by the Supplement issued in 2011) as specified below (deleted language is in strikethru format).</w:t>
      </w:r>
    </w:p>
    <w:p w:rsidR="00000000" w:rsidRDefault="00FC1D34">
      <w:pPr>
        <w:pStyle w:val="NormalWeb"/>
        <w:rPr>
          <w:rFonts w:ascii="Arial" w:hAnsi="Arial" w:cs="Arial"/>
        </w:rPr>
      </w:pPr>
      <w:r>
        <w:rPr>
          <w:rStyle w:val="Strong"/>
          <w:rFonts w:ascii="Arial" w:hAnsi="Arial" w:cs="Arial"/>
        </w:rPr>
        <w:t>5-402.11 Backflow Prevention.</w:t>
      </w:r>
    </w:p>
    <w:p w:rsidR="00000000" w:rsidRDefault="00FC1D34">
      <w:pPr>
        <w:pStyle w:val="NormalWeb"/>
        <w:rPr>
          <w:rFonts w:ascii="Arial" w:hAnsi="Arial" w:cs="Arial"/>
        </w:rPr>
      </w:pPr>
      <w:r>
        <w:rPr>
          <w:rFonts w:ascii="Arial" w:hAnsi="Arial" w:cs="Arial"/>
        </w:rPr>
        <w:lastRenderedPageBreak/>
        <w:t>(A) Except as specified in ¶¶ (B)</w:t>
      </w:r>
      <w:r>
        <w:rPr>
          <w:rFonts w:ascii="Arial" w:hAnsi="Arial" w:cs="Arial"/>
          <w:strike/>
        </w:rPr>
        <w:t>,</w:t>
      </w:r>
      <w:r>
        <w:rPr>
          <w:rFonts w:ascii="Arial" w:hAnsi="Arial" w:cs="Arial"/>
        </w:rPr>
        <w:t xml:space="preserve"> </w:t>
      </w:r>
      <w:r>
        <w:rPr>
          <w:rFonts w:ascii="Arial" w:hAnsi="Arial" w:cs="Arial"/>
          <w:u w:val="single"/>
        </w:rPr>
        <w:t xml:space="preserve">and </w:t>
      </w:r>
      <w:r>
        <w:rPr>
          <w:rFonts w:ascii="Arial" w:hAnsi="Arial" w:cs="Arial"/>
        </w:rPr>
        <w:t>(C)</w:t>
      </w:r>
      <w:r>
        <w:rPr>
          <w:rFonts w:ascii="Arial" w:hAnsi="Arial" w:cs="Arial"/>
          <w:strike/>
        </w:rPr>
        <w:t>, and (D)</w:t>
      </w:r>
      <w:r>
        <w:rPr>
          <w:rFonts w:ascii="Arial" w:hAnsi="Arial" w:cs="Arial"/>
        </w:rPr>
        <w:t xml:space="preserve"> of this section, a direct connection may not exist bet</w:t>
      </w:r>
      <w:r>
        <w:rPr>
          <w:rFonts w:ascii="Arial" w:hAnsi="Arial" w:cs="Arial"/>
        </w:rPr>
        <w:t>ween the sewage system and a drain originating from equipment in which food</w:t>
      </w:r>
      <w:r>
        <w:rPr>
          <w:rFonts w:ascii="Arial" w:hAnsi="Arial" w:cs="Arial"/>
          <w:strike/>
        </w:rPr>
        <w:t>, portable equipment, or utensils are</w:t>
      </w:r>
      <w:r>
        <w:rPr>
          <w:rFonts w:ascii="Arial" w:hAnsi="Arial" w:cs="Arial"/>
        </w:rPr>
        <w:t xml:space="preserve"> </w:t>
      </w:r>
      <w:r>
        <w:rPr>
          <w:rFonts w:ascii="Arial" w:hAnsi="Arial" w:cs="Arial"/>
          <w:u w:val="single"/>
        </w:rPr>
        <w:t xml:space="preserve">is </w:t>
      </w:r>
      <w:r>
        <w:rPr>
          <w:rFonts w:ascii="Arial" w:hAnsi="Arial" w:cs="Arial"/>
        </w:rPr>
        <w:t xml:space="preserve">placed. </w:t>
      </w:r>
      <w:r>
        <w:rPr>
          <w:rFonts w:ascii="Arial" w:hAnsi="Arial" w:cs="Arial"/>
          <w:vertAlign w:val="superscript"/>
        </w:rPr>
        <w:t>P</w:t>
      </w:r>
    </w:p>
    <w:p w:rsidR="00000000" w:rsidRDefault="00FC1D34">
      <w:pPr>
        <w:pStyle w:val="NormalWeb"/>
        <w:rPr>
          <w:rFonts w:ascii="Arial" w:hAnsi="Arial" w:cs="Arial"/>
        </w:rPr>
      </w:pPr>
      <w:r>
        <w:rPr>
          <w:rFonts w:ascii="Arial" w:hAnsi="Arial" w:cs="Arial"/>
        </w:rPr>
        <w:t xml:space="preserve">(B) </w:t>
      </w:r>
      <w:r>
        <w:rPr>
          <w:rStyle w:val="Emphasis"/>
          <w:rFonts w:ascii="Arial" w:hAnsi="Arial" w:cs="Arial"/>
        </w:rPr>
        <w:t xml:space="preserve">Paragraph (A) of this section does not apply to floor drains that originate in refrigerated spaces that are constructed as an </w:t>
      </w:r>
      <w:r>
        <w:rPr>
          <w:rStyle w:val="Emphasis"/>
          <w:rFonts w:ascii="Arial" w:hAnsi="Arial" w:cs="Arial"/>
        </w:rPr>
        <w:t>integral part of the building</w:t>
      </w:r>
      <w:r>
        <w:rPr>
          <w:rFonts w:ascii="Arial" w:hAnsi="Arial" w:cs="Arial"/>
        </w:rPr>
        <w:t>.</w:t>
      </w:r>
    </w:p>
    <w:p w:rsidR="00000000" w:rsidRDefault="00FC1D34">
      <w:pPr>
        <w:pStyle w:val="NormalWeb"/>
        <w:rPr>
          <w:rFonts w:ascii="Arial" w:hAnsi="Arial" w:cs="Arial"/>
        </w:rPr>
      </w:pPr>
      <w:r>
        <w:rPr>
          <w:rFonts w:ascii="Arial" w:hAnsi="Arial" w:cs="Arial"/>
          <w:strike/>
        </w:rPr>
        <w:t xml:space="preserve">(C) </w:t>
      </w:r>
      <w:r>
        <w:rPr>
          <w:rStyle w:val="Emphasis"/>
          <w:rFonts w:ascii="Arial" w:hAnsi="Arial" w:cs="Arial"/>
          <w:strike/>
        </w:rPr>
        <w:t>If allowed by law, a warewashing machine may have a direct connection between its waste outlet and a floor drain when the machine is located within 1.5 m (5 feet) of a trapped floor drain and the machine outlet is connect</w:t>
      </w:r>
      <w:r>
        <w:rPr>
          <w:rStyle w:val="Emphasis"/>
          <w:rFonts w:ascii="Arial" w:hAnsi="Arial" w:cs="Arial"/>
          <w:strike/>
        </w:rPr>
        <w:t>ed to the inlet side of a properly vented floor drain trap.</w:t>
      </w:r>
      <w:r>
        <w:rPr>
          <w:rFonts w:ascii="Arial" w:hAnsi="Arial" w:cs="Arial"/>
          <w:strike/>
        </w:rPr>
        <w:t xml:space="preserve"> </w:t>
      </w:r>
    </w:p>
    <w:p w:rsidR="00000000" w:rsidRDefault="00FC1D34">
      <w:pPr>
        <w:pStyle w:val="NormalWeb"/>
        <w:rPr>
          <w:rFonts w:ascii="Arial" w:hAnsi="Arial" w:cs="Arial"/>
        </w:rPr>
      </w:pPr>
      <w:r>
        <w:rPr>
          <w:rFonts w:ascii="Arial" w:hAnsi="Arial" w:cs="Arial"/>
        </w:rPr>
        <w:t>(</w:t>
      </w:r>
      <w:r>
        <w:rPr>
          <w:rFonts w:ascii="Arial" w:hAnsi="Arial" w:cs="Arial"/>
          <w:strike/>
        </w:rPr>
        <w:t>D</w:t>
      </w:r>
      <w:r>
        <w:rPr>
          <w:rFonts w:ascii="Arial" w:hAnsi="Arial" w:cs="Arial"/>
          <w:u w:val="single"/>
        </w:rPr>
        <w:t>C</w:t>
      </w:r>
      <w:r>
        <w:rPr>
          <w:rFonts w:ascii="Arial" w:hAnsi="Arial" w:cs="Arial"/>
        </w:rPr>
        <w:t xml:space="preserve">) </w:t>
      </w:r>
      <w:r>
        <w:rPr>
          <w:rStyle w:val="Emphasis"/>
          <w:rFonts w:ascii="Arial" w:hAnsi="Arial" w:cs="Arial"/>
        </w:rPr>
        <w:t xml:space="preserve">If allowed by law, a </w:t>
      </w:r>
      <w:r>
        <w:rPr>
          <w:rStyle w:val="Emphasis"/>
          <w:rFonts w:ascii="Arial" w:hAnsi="Arial" w:cs="Arial"/>
          <w:strike/>
        </w:rPr>
        <w:t>warewashing or</w:t>
      </w:r>
      <w:r>
        <w:rPr>
          <w:rStyle w:val="Emphasis"/>
          <w:rFonts w:ascii="Arial" w:hAnsi="Arial" w:cs="Arial"/>
        </w:rPr>
        <w:t xml:space="preserve"> culinary sink may have a direct connection</w:t>
      </w:r>
      <w:r>
        <w:rPr>
          <w:rFonts w:ascii="Arial" w:hAnsi="Arial" w:cs="Arial"/>
        </w:rPr>
        <w:t>.</w:t>
      </w:r>
    </w:p>
    <w:p w:rsidR="00000000" w:rsidRDefault="00FC1D34">
      <w:pPr>
        <w:rPr>
          <w:rFonts w:ascii="Arial" w:eastAsia="Times New Roman" w:hAnsi="Arial" w:cs="Arial"/>
        </w:rPr>
      </w:pPr>
    </w:p>
    <w:p w:rsidR="00000000" w:rsidRDefault="00FC1D3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C1D3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C1D34">
            <w:pPr>
              <w:widowControl w:val="0"/>
              <w:rPr>
                <w:rFonts w:ascii="Arial" w:hAnsi="Arial" w:cs="Arial"/>
              </w:rPr>
            </w:pPr>
            <w:r>
              <w:rPr>
                <w:rFonts w:ascii="Arial" w:hAnsi="Arial" w:cs="Arial"/>
              </w:rPr>
              <w:t>Adam Inman</w:t>
            </w:r>
          </w:p>
        </w:tc>
      </w:tr>
      <w:bookmarkEnd w:id="1"/>
      <w:tr w:rsidR="00000000">
        <w:tc>
          <w:tcPr>
            <w:tcW w:w="1817" w:type="dxa"/>
            <w:hideMark/>
          </w:tcPr>
          <w:p w:rsidR="00000000" w:rsidRDefault="00FC1D34">
            <w:pPr>
              <w:widowControl w:val="0"/>
              <w:rPr>
                <w:rFonts w:ascii="Arial" w:hAnsi="Arial" w:cs="Arial"/>
              </w:rPr>
            </w:pPr>
            <w:r>
              <w:rPr>
                <w:rFonts w:ascii="Arial" w:hAnsi="Arial" w:cs="Arial"/>
              </w:rPr>
              <w:t xml:space="preserve">Organization:  </w:t>
            </w:r>
          </w:p>
        </w:tc>
        <w:tc>
          <w:tcPr>
            <w:tcW w:w="7723" w:type="dxa"/>
            <w:gridSpan w:val="3"/>
            <w:hideMark/>
          </w:tcPr>
          <w:p w:rsidR="00000000" w:rsidRDefault="00FC1D34">
            <w:pPr>
              <w:widowControl w:val="0"/>
              <w:rPr>
                <w:rFonts w:ascii="Arial" w:hAnsi="Arial" w:cs="Arial"/>
              </w:rPr>
            </w:pPr>
            <w:r>
              <w:rPr>
                <w:rFonts w:ascii="Arial" w:hAnsi="Arial" w:cs="Arial"/>
              </w:rPr>
              <w:t>Kansas Department of Agriculture</w:t>
            </w:r>
          </w:p>
        </w:tc>
      </w:tr>
      <w:tr w:rsidR="00000000">
        <w:tc>
          <w:tcPr>
            <w:tcW w:w="1817" w:type="dxa"/>
            <w:hideMark/>
          </w:tcPr>
          <w:p w:rsidR="00000000" w:rsidRDefault="00FC1D34">
            <w:pPr>
              <w:widowControl w:val="0"/>
              <w:rPr>
                <w:rFonts w:ascii="Arial" w:hAnsi="Arial" w:cs="Arial"/>
              </w:rPr>
            </w:pPr>
            <w:r>
              <w:rPr>
                <w:rFonts w:ascii="Arial" w:hAnsi="Arial" w:cs="Arial"/>
              </w:rPr>
              <w:t>Address:</w:t>
            </w:r>
          </w:p>
        </w:tc>
        <w:tc>
          <w:tcPr>
            <w:tcW w:w="7723" w:type="dxa"/>
            <w:gridSpan w:val="3"/>
            <w:hideMark/>
          </w:tcPr>
          <w:p w:rsidR="00000000" w:rsidRDefault="00FC1D34">
            <w:pPr>
              <w:widowControl w:val="0"/>
              <w:rPr>
                <w:rFonts w:ascii="Arial" w:hAnsi="Arial" w:cs="Arial"/>
              </w:rPr>
            </w:pPr>
            <w:r>
              <w:rPr>
                <w:rFonts w:ascii="Arial" w:hAnsi="Arial" w:cs="Arial"/>
              </w:rPr>
              <w:t>109 SW 9th</w:t>
            </w:r>
          </w:p>
        </w:tc>
      </w:tr>
      <w:tr w:rsidR="00000000">
        <w:tc>
          <w:tcPr>
            <w:tcW w:w="1817" w:type="dxa"/>
            <w:hideMark/>
          </w:tcPr>
          <w:p w:rsidR="00000000" w:rsidRDefault="00FC1D34">
            <w:pPr>
              <w:widowControl w:val="0"/>
              <w:rPr>
                <w:rFonts w:ascii="Arial" w:hAnsi="Arial" w:cs="Arial"/>
              </w:rPr>
            </w:pPr>
            <w:r>
              <w:rPr>
                <w:rFonts w:ascii="Arial" w:hAnsi="Arial" w:cs="Arial"/>
              </w:rPr>
              <w:t>City/State/Zip:</w:t>
            </w:r>
          </w:p>
        </w:tc>
        <w:tc>
          <w:tcPr>
            <w:tcW w:w="7723" w:type="dxa"/>
            <w:gridSpan w:val="3"/>
            <w:hideMark/>
          </w:tcPr>
          <w:p w:rsidR="00000000" w:rsidRDefault="00FC1D34">
            <w:pPr>
              <w:widowControl w:val="0"/>
              <w:rPr>
                <w:rFonts w:ascii="Arial" w:hAnsi="Arial" w:cs="Arial"/>
              </w:rPr>
            </w:pPr>
            <w:r>
              <w:rPr>
                <w:rFonts w:ascii="Arial" w:hAnsi="Arial" w:cs="Arial"/>
              </w:rPr>
              <w:t>Topeka, KS 66612</w:t>
            </w:r>
          </w:p>
        </w:tc>
      </w:tr>
      <w:tr w:rsidR="00000000">
        <w:trPr>
          <w:trHeight w:val="260"/>
        </w:trPr>
        <w:tc>
          <w:tcPr>
            <w:tcW w:w="1817" w:type="dxa"/>
            <w:hideMark/>
          </w:tcPr>
          <w:p w:rsidR="00000000" w:rsidRDefault="00FC1D34">
            <w:pPr>
              <w:widowControl w:val="0"/>
              <w:rPr>
                <w:rFonts w:ascii="Arial" w:hAnsi="Arial" w:cs="Arial"/>
              </w:rPr>
            </w:pPr>
            <w:r>
              <w:rPr>
                <w:rFonts w:ascii="Arial" w:hAnsi="Arial" w:cs="Arial"/>
              </w:rPr>
              <w:t>Telephone:</w:t>
            </w:r>
          </w:p>
        </w:tc>
        <w:tc>
          <w:tcPr>
            <w:tcW w:w="1963" w:type="dxa"/>
            <w:hideMark/>
          </w:tcPr>
          <w:p w:rsidR="00000000" w:rsidRDefault="00FC1D34">
            <w:pPr>
              <w:widowControl w:val="0"/>
              <w:rPr>
                <w:rFonts w:ascii="Arial" w:hAnsi="Arial" w:cs="Arial"/>
              </w:rPr>
            </w:pPr>
            <w:r>
              <w:rPr>
                <w:rFonts w:ascii="Arial" w:hAnsi="Arial" w:cs="Arial"/>
              </w:rPr>
              <w:t>785-296-5600</w:t>
            </w:r>
          </w:p>
        </w:tc>
        <w:tc>
          <w:tcPr>
            <w:tcW w:w="900" w:type="dxa"/>
            <w:hideMark/>
          </w:tcPr>
          <w:p w:rsidR="00000000" w:rsidRDefault="00FC1D34">
            <w:pPr>
              <w:widowControl w:val="0"/>
              <w:rPr>
                <w:rFonts w:ascii="Arial" w:hAnsi="Arial" w:cs="Arial"/>
              </w:rPr>
            </w:pPr>
            <w:r>
              <w:rPr>
                <w:rFonts w:ascii="Arial" w:hAnsi="Arial" w:cs="Arial"/>
              </w:rPr>
              <w:t>Fax:</w:t>
            </w:r>
          </w:p>
        </w:tc>
        <w:tc>
          <w:tcPr>
            <w:tcW w:w="4860" w:type="dxa"/>
            <w:hideMark/>
          </w:tcPr>
          <w:p w:rsidR="00000000" w:rsidRDefault="00FC1D34">
            <w:pPr>
              <w:widowControl w:val="0"/>
              <w:rPr>
                <w:rFonts w:ascii="Arial" w:hAnsi="Arial" w:cs="Arial"/>
              </w:rPr>
            </w:pPr>
            <w:r>
              <w:rPr>
                <w:rFonts w:ascii="Arial" w:hAnsi="Arial" w:cs="Arial"/>
              </w:rPr>
              <w:t>785-296-6522</w:t>
            </w:r>
          </w:p>
        </w:tc>
      </w:tr>
      <w:tr w:rsidR="00000000">
        <w:trPr>
          <w:trHeight w:val="260"/>
        </w:trPr>
        <w:tc>
          <w:tcPr>
            <w:tcW w:w="1817" w:type="dxa"/>
            <w:hideMark/>
          </w:tcPr>
          <w:p w:rsidR="00000000" w:rsidRDefault="00FC1D34">
            <w:pPr>
              <w:widowControl w:val="0"/>
              <w:rPr>
                <w:rFonts w:ascii="Arial" w:hAnsi="Arial" w:cs="Arial"/>
              </w:rPr>
            </w:pPr>
            <w:r>
              <w:rPr>
                <w:rFonts w:ascii="Arial" w:hAnsi="Arial" w:cs="Arial"/>
              </w:rPr>
              <w:t>E-mail:</w:t>
            </w:r>
          </w:p>
        </w:tc>
        <w:tc>
          <w:tcPr>
            <w:tcW w:w="7723" w:type="dxa"/>
            <w:gridSpan w:val="3"/>
            <w:hideMark/>
          </w:tcPr>
          <w:p w:rsidR="00000000" w:rsidRDefault="00FC1D34">
            <w:pPr>
              <w:widowControl w:val="0"/>
              <w:rPr>
                <w:rFonts w:ascii="Arial" w:hAnsi="Arial" w:cs="Arial"/>
              </w:rPr>
            </w:pPr>
            <w:r>
              <w:rPr>
                <w:rFonts w:ascii="Arial" w:hAnsi="Arial" w:cs="Arial"/>
              </w:rPr>
              <w:t>adam.inman@kda.ks.gov</w:t>
            </w:r>
          </w:p>
        </w:tc>
      </w:tr>
    </w:tbl>
    <w:p w:rsidR="00000000" w:rsidRDefault="00FC1D34">
      <w:pPr>
        <w:rPr>
          <w:rFonts w:ascii="Arial" w:hAnsi="Arial" w:cs="Arial"/>
          <w:b/>
        </w:rPr>
      </w:pPr>
    </w:p>
    <w:p w:rsidR="00FC1D34" w:rsidRDefault="00FC1D3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C1D3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437DA"/>
    <w:rsid w:val="00F437DA"/>
    <w:rsid w:val="00F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Company>Conference for Food Safety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