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6AEA">
      <w:pPr>
        <w:jc w:val="center"/>
        <w:rPr>
          <w:rFonts w:ascii="Arial" w:hAnsi="Arial" w:cs="Arial"/>
          <w:b/>
        </w:rPr>
      </w:pPr>
      <w:bookmarkStart w:id="0" w:name="_GoBack"/>
      <w:bookmarkEnd w:id="0"/>
      <w:r>
        <w:rPr>
          <w:rFonts w:ascii="Arial" w:hAnsi="Arial" w:cs="Arial"/>
          <w:b/>
        </w:rPr>
        <w:t>Conference for Food Protection</w:t>
      </w:r>
    </w:p>
    <w:p w:rsidR="00000000" w:rsidRDefault="00AE6AEA">
      <w:pPr>
        <w:jc w:val="center"/>
        <w:rPr>
          <w:rFonts w:ascii="Arial" w:hAnsi="Arial" w:cs="Arial"/>
          <w:b/>
        </w:rPr>
      </w:pPr>
      <w:r>
        <w:rPr>
          <w:rFonts w:ascii="Arial" w:hAnsi="Arial" w:cs="Arial"/>
          <w:b/>
        </w:rPr>
        <w:t>2012 Issue Form</w:t>
      </w:r>
    </w:p>
    <w:p w:rsidR="00000000" w:rsidRDefault="00AE6AEA">
      <w:pPr>
        <w:rPr>
          <w:rFonts w:ascii="Arial" w:hAnsi="Arial" w:cs="Arial"/>
          <w:b/>
        </w:rPr>
      </w:pPr>
    </w:p>
    <w:p w:rsidR="00000000" w:rsidRDefault="00AE6AEA">
      <w:pPr>
        <w:jc w:val="right"/>
        <w:rPr>
          <w:rFonts w:ascii="Arial" w:hAnsi="Arial" w:cs="Arial"/>
          <w:b/>
        </w:rPr>
      </w:pPr>
      <w:r>
        <w:rPr>
          <w:rFonts w:ascii="Arial" w:hAnsi="Arial" w:cs="Arial"/>
          <w:b/>
        </w:rPr>
        <w:t>Internal Number: 067</w:t>
      </w:r>
    </w:p>
    <w:p w:rsidR="00000000" w:rsidRDefault="00AE6AEA">
      <w:pPr>
        <w:jc w:val="right"/>
        <w:rPr>
          <w:rFonts w:ascii="Arial" w:hAnsi="Arial" w:cs="Arial"/>
          <w:b/>
        </w:rPr>
      </w:pPr>
      <w:r>
        <w:rPr>
          <w:rFonts w:ascii="Arial" w:hAnsi="Arial" w:cs="Arial"/>
          <w:b/>
        </w:rPr>
        <w:t>Issue: 2012 I-016</w:t>
      </w:r>
    </w:p>
    <w:p w:rsidR="00000000" w:rsidRDefault="00AE6AE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E6AE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E6AEA">
            <w:pPr>
              <w:rPr>
                <w:rFonts w:ascii="Arial" w:hAnsi="Arial" w:cs="Arial"/>
              </w:rPr>
            </w:pPr>
            <w:r>
              <w:rPr>
                <w:rFonts w:ascii="Arial" w:hAnsi="Arial" w:cs="Arial"/>
              </w:rPr>
              <w:t>Accepted as</w:t>
            </w:r>
          </w:p>
          <w:p w:rsidR="00000000" w:rsidRDefault="00AE6AE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E6AEA">
            <w:pPr>
              <w:rPr>
                <w:rFonts w:ascii="Arial" w:hAnsi="Arial" w:cs="Arial"/>
                <w:b/>
              </w:rPr>
            </w:pPr>
          </w:p>
        </w:tc>
        <w:tc>
          <w:tcPr>
            <w:tcW w:w="1728" w:type="dxa"/>
            <w:tcBorders>
              <w:top w:val="nil"/>
              <w:left w:val="nil"/>
              <w:bottom w:val="nil"/>
              <w:right w:val="nil"/>
            </w:tcBorders>
            <w:vAlign w:val="bottom"/>
            <w:hideMark/>
          </w:tcPr>
          <w:p w:rsidR="00000000" w:rsidRDefault="00AE6AE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E6AEA">
            <w:pPr>
              <w:rPr>
                <w:rFonts w:ascii="Arial" w:hAnsi="Arial" w:cs="Arial"/>
                <w:b/>
              </w:rPr>
            </w:pPr>
          </w:p>
        </w:tc>
        <w:tc>
          <w:tcPr>
            <w:tcW w:w="1584" w:type="dxa"/>
            <w:tcBorders>
              <w:top w:val="nil"/>
              <w:left w:val="nil"/>
              <w:bottom w:val="nil"/>
              <w:right w:val="nil"/>
            </w:tcBorders>
            <w:vAlign w:val="bottom"/>
          </w:tcPr>
          <w:p w:rsidR="00000000" w:rsidRDefault="00AE6AEA">
            <w:pPr>
              <w:rPr>
                <w:rFonts w:ascii="Arial" w:hAnsi="Arial" w:cs="Arial"/>
                <w:b/>
              </w:rPr>
            </w:pPr>
          </w:p>
          <w:p w:rsidR="00000000" w:rsidRDefault="00AE6AE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E6AE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E6AE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E6AE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E6AEA">
            <w:pPr>
              <w:rPr>
                <w:rFonts w:ascii="Arial" w:hAnsi="Arial" w:cs="Arial"/>
                <w:b/>
              </w:rPr>
            </w:pPr>
          </w:p>
        </w:tc>
        <w:tc>
          <w:tcPr>
            <w:tcW w:w="1728" w:type="dxa"/>
            <w:tcBorders>
              <w:top w:val="nil"/>
              <w:left w:val="nil"/>
              <w:bottom w:val="nil"/>
              <w:right w:val="nil"/>
            </w:tcBorders>
            <w:vAlign w:val="bottom"/>
            <w:hideMark/>
          </w:tcPr>
          <w:p w:rsidR="00000000" w:rsidRDefault="00AE6AE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E6AEA">
            <w:pPr>
              <w:rPr>
                <w:rFonts w:ascii="Arial" w:hAnsi="Arial" w:cs="Arial"/>
                <w:b/>
              </w:rPr>
            </w:pPr>
          </w:p>
        </w:tc>
        <w:tc>
          <w:tcPr>
            <w:tcW w:w="1584" w:type="dxa"/>
            <w:tcBorders>
              <w:top w:val="nil"/>
              <w:left w:val="nil"/>
              <w:bottom w:val="nil"/>
              <w:right w:val="nil"/>
            </w:tcBorders>
            <w:vAlign w:val="bottom"/>
          </w:tcPr>
          <w:p w:rsidR="00000000" w:rsidRDefault="00AE6AEA">
            <w:pPr>
              <w:pStyle w:val="Heading1"/>
              <w:jc w:val="left"/>
              <w:rPr>
                <w:rFonts w:cs="Arial"/>
                <w:szCs w:val="24"/>
              </w:rPr>
            </w:pPr>
          </w:p>
        </w:tc>
        <w:tc>
          <w:tcPr>
            <w:tcW w:w="720" w:type="dxa"/>
            <w:tcBorders>
              <w:top w:val="nil"/>
              <w:left w:val="nil"/>
              <w:bottom w:val="nil"/>
              <w:right w:val="nil"/>
            </w:tcBorders>
            <w:vAlign w:val="bottom"/>
          </w:tcPr>
          <w:p w:rsidR="00000000" w:rsidRDefault="00AE6AEA">
            <w:pPr>
              <w:rPr>
                <w:rFonts w:ascii="Arial" w:hAnsi="Arial" w:cs="Arial"/>
                <w:b/>
              </w:rPr>
            </w:pPr>
          </w:p>
        </w:tc>
      </w:tr>
    </w:tbl>
    <w:p w:rsidR="00000000" w:rsidRDefault="00AE6AE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E6AEA">
      <w:pPr>
        <w:rPr>
          <w:rFonts w:ascii="Arial" w:hAnsi="Arial" w:cs="Arial"/>
          <w:b/>
        </w:rPr>
      </w:pPr>
    </w:p>
    <w:p w:rsidR="00000000" w:rsidRDefault="00AE6AEA">
      <w:pPr>
        <w:rPr>
          <w:rFonts w:ascii="Arial" w:hAnsi="Arial" w:cs="Arial"/>
          <w:b/>
        </w:rPr>
      </w:pPr>
      <w:r>
        <w:rPr>
          <w:rFonts w:ascii="Arial" w:hAnsi="Arial" w:cs="Arial"/>
          <w:b/>
        </w:rPr>
        <w:t>Title:</w:t>
      </w:r>
    </w:p>
    <w:p w:rsidR="00000000" w:rsidRDefault="00AE6AEA">
      <w:pPr>
        <w:pStyle w:val="NormalWeb"/>
        <w:rPr>
          <w:rFonts w:ascii="Arial" w:hAnsi="Arial" w:cs="Arial"/>
        </w:rPr>
      </w:pPr>
      <w:r>
        <w:rPr>
          <w:rFonts w:ascii="Arial" w:hAnsi="Arial" w:cs="Arial"/>
        </w:rPr>
        <w:t>Addition to Duties: Person in Charge Section 2-103.11 of FDA Food Code</w:t>
      </w:r>
    </w:p>
    <w:p w:rsidR="00000000" w:rsidRDefault="00AE6AEA">
      <w:pPr>
        <w:rPr>
          <w:rFonts w:ascii="Arial" w:eastAsia="Times New Roman" w:hAnsi="Arial" w:cs="Arial"/>
        </w:rPr>
      </w:pPr>
    </w:p>
    <w:p w:rsidR="00000000" w:rsidRDefault="00AE6AEA">
      <w:pPr>
        <w:rPr>
          <w:rFonts w:ascii="Arial" w:hAnsi="Arial" w:cs="Arial"/>
          <w:b/>
        </w:rPr>
      </w:pPr>
      <w:r>
        <w:rPr>
          <w:rFonts w:ascii="Arial" w:hAnsi="Arial" w:cs="Arial"/>
          <w:b/>
        </w:rPr>
        <w:t>Issue you would like the Conference to consider:</w:t>
      </w:r>
    </w:p>
    <w:p w:rsidR="00000000" w:rsidRDefault="00AE6AEA">
      <w:pPr>
        <w:pStyle w:val="NormalWeb"/>
        <w:rPr>
          <w:rFonts w:ascii="Arial" w:hAnsi="Arial" w:cs="Arial"/>
        </w:rPr>
      </w:pPr>
      <w:r>
        <w:rPr>
          <w:rFonts w:ascii="Arial" w:hAnsi="Arial" w:cs="Arial"/>
        </w:rPr>
        <w:t>The FDA Food Code recognizes that consumers are at risk of foodborne</w:t>
      </w:r>
      <w:r>
        <w:rPr>
          <w:rFonts w:ascii="Arial" w:hAnsi="Arial" w:cs="Arial"/>
        </w:rPr>
        <w:t xml:space="preserve"> illness from undercooked or improperly cooked meat items, particularly ground beef. Some food establishments-retailers as well as restaurants-may grind intact beef to produce ground beef "in house". While this practice is lawful, it may present an increas</w:t>
      </w:r>
      <w:r>
        <w:rPr>
          <w:rFonts w:ascii="Arial" w:hAnsi="Arial" w:cs="Arial"/>
        </w:rPr>
        <w:t>ed risk of foodborne illness to consumers, because intact beef may not be subject to the same rigorous pathogen control as ground beef.</w:t>
      </w:r>
    </w:p>
    <w:p w:rsidR="00000000" w:rsidRDefault="00AE6AEA">
      <w:pPr>
        <w:rPr>
          <w:rFonts w:ascii="Arial" w:eastAsia="Times New Roman" w:hAnsi="Arial" w:cs="Arial"/>
        </w:rPr>
      </w:pPr>
    </w:p>
    <w:p w:rsidR="00000000" w:rsidRDefault="00AE6AEA">
      <w:pPr>
        <w:rPr>
          <w:rFonts w:ascii="Arial" w:hAnsi="Arial" w:cs="Arial"/>
          <w:b/>
        </w:rPr>
      </w:pPr>
      <w:r>
        <w:rPr>
          <w:rFonts w:ascii="Arial" w:hAnsi="Arial" w:cs="Arial"/>
          <w:b/>
        </w:rPr>
        <w:t>Public Health Significance:</w:t>
      </w:r>
    </w:p>
    <w:p w:rsidR="00000000" w:rsidRDefault="00AE6AEA">
      <w:pPr>
        <w:pStyle w:val="NormalWeb"/>
        <w:rPr>
          <w:rFonts w:ascii="Arial" w:hAnsi="Arial" w:cs="Arial"/>
        </w:rPr>
      </w:pPr>
      <w:r>
        <w:rPr>
          <w:rFonts w:ascii="Arial" w:hAnsi="Arial" w:cs="Arial"/>
        </w:rPr>
        <w:t>Grinding intact beef "in house" may spread pathogenic contamination from the exterior of an</w:t>
      </w:r>
      <w:r>
        <w:rPr>
          <w:rFonts w:ascii="Arial" w:hAnsi="Arial" w:cs="Arial"/>
        </w:rPr>
        <w:t xml:space="preserve"> intact product throughout the resulting ground beef, or, may serve as a source of cross-contamination of grinding equipment. Further, consumers may mistakenly believe that ground beef produced "in house" in this way is fresher or safer, and thus may order</w:t>
      </w:r>
      <w:r>
        <w:rPr>
          <w:rFonts w:ascii="Arial" w:hAnsi="Arial" w:cs="Arial"/>
        </w:rPr>
        <w:t xml:space="preserve"> such products undercooked (i.e., rare or medium rare), which is insufficient to kill pathogens.</w:t>
      </w:r>
    </w:p>
    <w:p w:rsidR="00000000" w:rsidRDefault="00AE6AEA">
      <w:pPr>
        <w:pStyle w:val="NormalWeb"/>
        <w:rPr>
          <w:rFonts w:ascii="Arial" w:hAnsi="Arial" w:cs="Arial"/>
        </w:rPr>
      </w:pPr>
      <w:r>
        <w:rPr>
          <w:rFonts w:ascii="Arial" w:hAnsi="Arial" w:cs="Arial"/>
        </w:rPr>
        <w:t>It is thus imperative that those employees tasked with handling and grinding such meats (and those employees responsible for cleaning the grinding equipment, i</w:t>
      </w:r>
      <w:r>
        <w:rPr>
          <w:rFonts w:ascii="Arial" w:hAnsi="Arial" w:cs="Arial"/>
        </w:rPr>
        <w:t>f different) are specially trained about the importance of rigorous cleaning for the prevention of foodborne illness, the logistics of cleaning, and the maintenance of appropriate records to assist in an outbreak investigation resulting from in house groun</w:t>
      </w:r>
      <w:r>
        <w:rPr>
          <w:rFonts w:ascii="Arial" w:hAnsi="Arial" w:cs="Arial"/>
        </w:rPr>
        <w:t>d products.</w:t>
      </w:r>
    </w:p>
    <w:p w:rsidR="00000000" w:rsidRDefault="00AE6AEA">
      <w:pPr>
        <w:rPr>
          <w:rFonts w:ascii="Arial" w:eastAsia="Times New Roman" w:hAnsi="Arial" w:cs="Arial"/>
        </w:rPr>
      </w:pPr>
    </w:p>
    <w:p w:rsidR="00000000" w:rsidRDefault="00AE6AEA">
      <w:pPr>
        <w:rPr>
          <w:rFonts w:ascii="Arial" w:hAnsi="Arial" w:cs="Arial"/>
          <w:b/>
        </w:rPr>
      </w:pPr>
      <w:r>
        <w:rPr>
          <w:rFonts w:ascii="Arial" w:hAnsi="Arial" w:cs="Arial"/>
          <w:b/>
        </w:rPr>
        <w:t>Recommended Solution: The Conference recommends...:</w:t>
      </w:r>
    </w:p>
    <w:p w:rsidR="00000000" w:rsidRDefault="00AE6AEA">
      <w:pPr>
        <w:pStyle w:val="NormalWeb"/>
        <w:rPr>
          <w:rFonts w:ascii="Arial" w:hAnsi="Arial" w:cs="Arial"/>
        </w:rPr>
      </w:pPr>
      <w:r>
        <w:rPr>
          <w:rFonts w:ascii="Arial" w:hAnsi="Arial" w:cs="Arial"/>
        </w:rPr>
        <w:t xml:space="preserve">that a letter be sent to FDA requesting the addition of the underlined language to Section 2-103.11 of the FDA Food Code, </w:t>
      </w:r>
      <w:r>
        <w:rPr>
          <w:rStyle w:val="Emphasis"/>
          <w:rFonts w:ascii="Arial" w:hAnsi="Arial" w:cs="Arial"/>
        </w:rPr>
        <w:t>Duties: Person in Charge</w:t>
      </w:r>
      <w:r>
        <w:rPr>
          <w:rFonts w:ascii="Arial" w:hAnsi="Arial" w:cs="Arial"/>
        </w:rPr>
        <w:t>:</w:t>
      </w:r>
    </w:p>
    <w:p w:rsidR="00000000" w:rsidRDefault="00AE6AEA">
      <w:pPr>
        <w:pStyle w:val="NormalWeb"/>
        <w:rPr>
          <w:rFonts w:ascii="Arial" w:hAnsi="Arial" w:cs="Arial"/>
        </w:rPr>
      </w:pPr>
      <w:r>
        <w:rPr>
          <w:rStyle w:val="Strong"/>
          <w:rFonts w:ascii="Arial" w:hAnsi="Arial" w:cs="Arial"/>
        </w:rPr>
        <w:lastRenderedPageBreak/>
        <w:t>2-103.11</w:t>
      </w:r>
      <w:r>
        <w:rPr>
          <w:rFonts w:ascii="Arial" w:hAnsi="Arial" w:cs="Arial"/>
        </w:rPr>
        <w:t xml:space="preserve"> </w:t>
      </w:r>
      <w:r>
        <w:rPr>
          <w:rStyle w:val="Strong"/>
          <w:rFonts w:ascii="Arial" w:hAnsi="Arial" w:cs="Arial"/>
        </w:rPr>
        <w:t>Person in Charge</w:t>
      </w:r>
      <w:r>
        <w:rPr>
          <w:rFonts w:ascii="Arial" w:hAnsi="Arial" w:cs="Arial"/>
        </w:rPr>
        <w:t>.</w:t>
      </w:r>
    </w:p>
    <w:p w:rsidR="00000000" w:rsidRDefault="00AE6AEA">
      <w:pPr>
        <w:pStyle w:val="NormalWeb"/>
        <w:rPr>
          <w:rFonts w:ascii="Arial" w:hAnsi="Arial" w:cs="Arial"/>
        </w:rPr>
      </w:pPr>
      <w:r>
        <w:rPr>
          <w:rFonts w:ascii="Arial" w:hAnsi="Arial" w:cs="Arial"/>
        </w:rPr>
        <w:t>(L) EMPLOYEES ar</w:t>
      </w:r>
      <w:r>
        <w:rPr>
          <w:rFonts w:ascii="Arial" w:hAnsi="Arial" w:cs="Arial"/>
        </w:rPr>
        <w:t xml:space="preserve">e properly trained in FOOD safety as it relates to their assigned duties; </w:t>
      </w:r>
      <w:r>
        <w:rPr>
          <w:rFonts w:ascii="Arial" w:hAnsi="Arial" w:cs="Arial"/>
          <w:u w:val="single"/>
        </w:rPr>
        <w:t>with enhanced training for those employees who may be responsible for production and handling of "in house" ground beef, such as the grinding of MEAT, PRIMAL CUTS and WHOLE MUSCLE, I</w:t>
      </w:r>
      <w:r>
        <w:rPr>
          <w:rFonts w:ascii="Arial" w:hAnsi="Arial" w:cs="Arial"/>
          <w:u w:val="single"/>
        </w:rPr>
        <w:t xml:space="preserve">NTACT BEEF; </w:t>
      </w:r>
      <w:r>
        <w:rPr>
          <w:rFonts w:ascii="Arial" w:hAnsi="Arial" w:cs="Arial"/>
        </w:rPr>
        <w:t>and</w:t>
      </w:r>
    </w:p>
    <w:p w:rsidR="00000000" w:rsidRDefault="00AE6AEA">
      <w:pPr>
        <w:rPr>
          <w:rFonts w:ascii="Arial" w:eastAsia="Times New Roman" w:hAnsi="Arial" w:cs="Arial"/>
        </w:rPr>
      </w:pPr>
    </w:p>
    <w:p w:rsidR="00000000" w:rsidRDefault="00AE6AE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E6AE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E6AEA">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AE6AEA">
            <w:pPr>
              <w:widowControl w:val="0"/>
              <w:rPr>
                <w:rFonts w:ascii="Arial" w:hAnsi="Arial" w:cs="Arial"/>
              </w:rPr>
            </w:pPr>
            <w:r>
              <w:rPr>
                <w:rFonts w:ascii="Arial" w:hAnsi="Arial" w:cs="Arial"/>
              </w:rPr>
              <w:t xml:space="preserve">Organization:  </w:t>
            </w:r>
          </w:p>
        </w:tc>
        <w:tc>
          <w:tcPr>
            <w:tcW w:w="7723" w:type="dxa"/>
            <w:gridSpan w:val="3"/>
            <w:hideMark/>
          </w:tcPr>
          <w:p w:rsidR="00000000" w:rsidRDefault="00AE6AEA">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AE6AEA">
            <w:pPr>
              <w:widowControl w:val="0"/>
              <w:rPr>
                <w:rFonts w:ascii="Arial" w:hAnsi="Arial" w:cs="Arial"/>
              </w:rPr>
            </w:pPr>
            <w:r>
              <w:rPr>
                <w:rFonts w:ascii="Arial" w:hAnsi="Arial" w:cs="Arial"/>
              </w:rPr>
              <w:t>Address:</w:t>
            </w:r>
          </w:p>
        </w:tc>
        <w:tc>
          <w:tcPr>
            <w:tcW w:w="7723" w:type="dxa"/>
            <w:gridSpan w:val="3"/>
            <w:hideMark/>
          </w:tcPr>
          <w:p w:rsidR="00000000" w:rsidRDefault="00AE6AEA">
            <w:pPr>
              <w:widowControl w:val="0"/>
              <w:rPr>
                <w:rFonts w:ascii="Arial" w:hAnsi="Arial" w:cs="Arial"/>
              </w:rPr>
            </w:pPr>
            <w:r>
              <w:rPr>
                <w:rFonts w:ascii="Arial" w:hAnsi="Arial" w:cs="Arial"/>
              </w:rPr>
              <w:t>1220 L St NWSuite 300</w:t>
            </w:r>
          </w:p>
        </w:tc>
      </w:tr>
      <w:tr w:rsidR="00000000">
        <w:tc>
          <w:tcPr>
            <w:tcW w:w="1817" w:type="dxa"/>
            <w:hideMark/>
          </w:tcPr>
          <w:p w:rsidR="00000000" w:rsidRDefault="00AE6AEA">
            <w:pPr>
              <w:widowControl w:val="0"/>
              <w:rPr>
                <w:rFonts w:ascii="Arial" w:hAnsi="Arial" w:cs="Arial"/>
              </w:rPr>
            </w:pPr>
            <w:r>
              <w:rPr>
                <w:rFonts w:ascii="Arial" w:hAnsi="Arial" w:cs="Arial"/>
              </w:rPr>
              <w:t>City/State/Zip:</w:t>
            </w:r>
          </w:p>
        </w:tc>
        <w:tc>
          <w:tcPr>
            <w:tcW w:w="7723" w:type="dxa"/>
            <w:gridSpan w:val="3"/>
            <w:hideMark/>
          </w:tcPr>
          <w:p w:rsidR="00000000" w:rsidRDefault="00AE6AEA">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AE6AEA">
            <w:pPr>
              <w:widowControl w:val="0"/>
              <w:rPr>
                <w:rFonts w:ascii="Arial" w:hAnsi="Arial" w:cs="Arial"/>
              </w:rPr>
            </w:pPr>
            <w:r>
              <w:rPr>
                <w:rFonts w:ascii="Arial" w:hAnsi="Arial" w:cs="Arial"/>
              </w:rPr>
              <w:t>Telephone:</w:t>
            </w:r>
          </w:p>
        </w:tc>
        <w:tc>
          <w:tcPr>
            <w:tcW w:w="1963" w:type="dxa"/>
            <w:hideMark/>
          </w:tcPr>
          <w:p w:rsidR="00000000" w:rsidRDefault="00AE6AEA">
            <w:pPr>
              <w:widowControl w:val="0"/>
              <w:rPr>
                <w:rFonts w:ascii="Arial" w:hAnsi="Arial" w:cs="Arial"/>
              </w:rPr>
            </w:pPr>
            <w:r>
              <w:rPr>
                <w:rFonts w:ascii="Arial" w:hAnsi="Arial" w:cs="Arial"/>
              </w:rPr>
              <w:t>2027778339</w:t>
            </w:r>
          </w:p>
        </w:tc>
        <w:tc>
          <w:tcPr>
            <w:tcW w:w="900" w:type="dxa"/>
            <w:hideMark/>
          </w:tcPr>
          <w:p w:rsidR="00000000" w:rsidRDefault="00AE6AEA">
            <w:pPr>
              <w:widowControl w:val="0"/>
              <w:rPr>
                <w:rFonts w:ascii="Arial" w:hAnsi="Arial" w:cs="Arial"/>
              </w:rPr>
            </w:pPr>
            <w:r>
              <w:rPr>
                <w:rFonts w:ascii="Arial" w:hAnsi="Arial" w:cs="Arial"/>
              </w:rPr>
              <w:t>Fax:</w:t>
            </w:r>
          </w:p>
        </w:tc>
        <w:tc>
          <w:tcPr>
            <w:tcW w:w="4860" w:type="dxa"/>
            <w:hideMark/>
          </w:tcPr>
          <w:p w:rsidR="00000000" w:rsidRDefault="00AE6AEA">
            <w:pPr>
              <w:widowControl w:val="0"/>
              <w:rPr>
                <w:rFonts w:ascii="Arial" w:hAnsi="Arial" w:cs="Arial"/>
              </w:rPr>
            </w:pPr>
          </w:p>
        </w:tc>
      </w:tr>
      <w:tr w:rsidR="00000000">
        <w:trPr>
          <w:trHeight w:val="260"/>
        </w:trPr>
        <w:tc>
          <w:tcPr>
            <w:tcW w:w="1817" w:type="dxa"/>
            <w:hideMark/>
          </w:tcPr>
          <w:p w:rsidR="00000000" w:rsidRDefault="00AE6AEA">
            <w:pPr>
              <w:widowControl w:val="0"/>
              <w:rPr>
                <w:rFonts w:ascii="Arial" w:hAnsi="Arial" w:cs="Arial"/>
              </w:rPr>
            </w:pPr>
            <w:r>
              <w:rPr>
                <w:rFonts w:ascii="Arial" w:hAnsi="Arial" w:cs="Arial"/>
              </w:rPr>
              <w:t>E-mail:</w:t>
            </w:r>
          </w:p>
        </w:tc>
        <w:tc>
          <w:tcPr>
            <w:tcW w:w="7723" w:type="dxa"/>
            <w:gridSpan w:val="3"/>
            <w:hideMark/>
          </w:tcPr>
          <w:p w:rsidR="00000000" w:rsidRDefault="00AE6AEA">
            <w:pPr>
              <w:widowControl w:val="0"/>
              <w:rPr>
                <w:rFonts w:ascii="Arial" w:hAnsi="Arial" w:cs="Arial"/>
              </w:rPr>
            </w:pPr>
            <w:r>
              <w:rPr>
                <w:rFonts w:ascii="Arial" w:hAnsi="Arial" w:cs="Arial"/>
              </w:rPr>
              <w:t>sklein@cspinet.org</w:t>
            </w:r>
          </w:p>
        </w:tc>
      </w:tr>
    </w:tbl>
    <w:p w:rsidR="00000000" w:rsidRDefault="00AE6AEA">
      <w:pPr>
        <w:rPr>
          <w:rFonts w:ascii="Arial" w:hAnsi="Arial" w:cs="Arial"/>
          <w:b/>
        </w:rPr>
      </w:pPr>
    </w:p>
    <w:p w:rsidR="00AE6AEA" w:rsidRDefault="00AE6AE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E6AE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8116A"/>
    <w:rsid w:val="0088116A"/>
    <w:rsid w:val="00A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Company>Conference for Food Safety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