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77DD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F77D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2010 Issue Form</w:t>
      </w:r>
    </w:p>
    <w:p w:rsidR="00000000" w:rsidRDefault="00F77DDB">
      <w:pPr>
        <w:rPr>
          <w:rFonts w:ascii="Arial" w:hAnsi="Arial" w:cs="Arial"/>
          <w:b/>
        </w:rPr>
      </w:pPr>
    </w:p>
    <w:p w:rsidR="00000000" w:rsidRDefault="00F77DD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050</w:t>
      </w:r>
    </w:p>
    <w:p w:rsidR="00000000" w:rsidRDefault="00F77DD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2010 I-019</w:t>
      </w:r>
    </w:p>
    <w:p w:rsidR="00000000" w:rsidRDefault="00F77DD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77DDB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77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F77D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7DD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77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7D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7DDB">
            <w:pPr>
              <w:rPr>
                <w:rFonts w:ascii="Arial" w:hAnsi="Arial" w:cs="Arial"/>
                <w:b/>
              </w:rPr>
            </w:pPr>
          </w:p>
          <w:p w:rsidR="00000000" w:rsidRDefault="00F77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7DDB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77DDB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77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7DD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77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7D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7DDB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7DDB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F77DDB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F77DDB">
      <w:pPr>
        <w:rPr>
          <w:rFonts w:ascii="Arial" w:hAnsi="Arial" w:cs="Arial"/>
          <w:b/>
        </w:rPr>
      </w:pPr>
    </w:p>
    <w:p w:rsidR="00000000" w:rsidRDefault="00F77D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F77DD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4-501.114-Manual and Mechanical Warewashing Equipment Chemical Sanitation</w:t>
      </w:r>
    </w:p>
    <w:p w:rsidR="00000000" w:rsidRDefault="00F77DDB">
      <w:pPr>
        <w:rPr>
          <w:rFonts w:ascii="Arial" w:eastAsia="Times New Roman" w:hAnsi="Arial" w:cs="Arial"/>
        </w:rPr>
      </w:pPr>
    </w:p>
    <w:p w:rsidR="00000000" w:rsidRDefault="00F77D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F77DD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Every sub-section (A-E) in Section 4-501.114 currently has an ind</w:t>
      </w:r>
      <w:r>
        <w:rPr>
          <w:rFonts w:ascii="Arial" w:hAnsi="Arial" w:cs="Arial"/>
        </w:rPr>
        <w:t xml:space="preserve">ividual criticality rating although complying with the first part automatically covers all subsequent items. Having the sub-sections individually rated may result in the food establishment incurring multiple Priority </w:t>
      </w:r>
      <w:r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 xml:space="preserve"> violations when in fact they should o</w:t>
      </w:r>
      <w:r>
        <w:rPr>
          <w:rFonts w:ascii="Arial" w:hAnsi="Arial" w:cs="Arial"/>
        </w:rPr>
        <w:t>nly have one.</w:t>
      </w:r>
      <w:r>
        <w:rPr>
          <w:rStyle w:val="Strong"/>
          <w:rFonts w:ascii="Arial" w:hAnsi="Arial" w:cs="Arial"/>
        </w:rPr>
        <w:t xml:space="preserve"> </w:t>
      </w:r>
    </w:p>
    <w:p w:rsidR="00000000" w:rsidRDefault="00F77DDB">
      <w:pPr>
        <w:rPr>
          <w:rFonts w:ascii="Arial" w:eastAsia="Times New Roman" w:hAnsi="Arial" w:cs="Arial"/>
        </w:rPr>
      </w:pPr>
    </w:p>
    <w:p w:rsidR="00000000" w:rsidRDefault="00F77D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F77DD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Section 4-501.114 begins with a requirement that a chemical sanitizer used in a sanitizing solution for manual or mechanical warewashing at contact times specified elsewhere in the FDA Food Code meet additional c</w:t>
      </w:r>
      <w:r>
        <w:rPr>
          <w:rFonts w:ascii="Arial" w:hAnsi="Arial" w:cs="Arial"/>
        </w:rPr>
        <w:t xml:space="preserve">riteria specified in 7-204.11, be used in accordance with EPA registered label use instructions and be used as set forth in sub-paragraphs (A) through (E). This entire paragraph is classified as a Priority </w:t>
      </w:r>
      <w:r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 xml:space="preserve"> item as is each individual sub-section (A) - (E)</w:t>
      </w:r>
      <w:r>
        <w:rPr>
          <w:rFonts w:ascii="Arial" w:hAnsi="Arial" w:cs="Arial"/>
        </w:rPr>
        <w:t xml:space="preserve">. The result is that instead of one Priority </w:t>
      </w:r>
      <w:r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 xml:space="preserve"> item assessed for 4-501.114, the food establishments are now subject to 9 additional Priority </w:t>
      </w:r>
      <w:r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 xml:space="preserve"> items that all essentially are covered in the first paragraph of this section. If anyone of the variables listed </w:t>
      </w:r>
      <w:r>
        <w:rPr>
          <w:rFonts w:ascii="Arial" w:hAnsi="Arial" w:cs="Arial"/>
        </w:rPr>
        <w:t xml:space="preserve">under (A) through (E) was not in compliance, the food establishment would not be in compliance with the first section of 4.501.114. Having the extra 9 Priority </w:t>
      </w:r>
      <w:r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 xml:space="preserve"> items only adds to the Food Establishment being subjected to additional violations for the sam</w:t>
      </w:r>
      <w:r>
        <w:rPr>
          <w:rFonts w:ascii="Arial" w:hAnsi="Arial" w:cs="Arial"/>
        </w:rPr>
        <w:t xml:space="preserve">e reason. Removing the Priority </w:t>
      </w:r>
      <w:r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 xml:space="preserve"> item classifications from the sub-sections in (A) through (E) would not affect Public Health since any one not in compliance would be assessed a violation under the first paragraph.</w:t>
      </w:r>
    </w:p>
    <w:p w:rsidR="00000000" w:rsidRDefault="00F77DDB">
      <w:pPr>
        <w:rPr>
          <w:rFonts w:ascii="Arial" w:eastAsia="Times New Roman" w:hAnsi="Arial" w:cs="Arial"/>
        </w:rPr>
      </w:pPr>
    </w:p>
    <w:p w:rsidR="00000000" w:rsidRDefault="00F77D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</w:t>
      </w:r>
      <w:r>
        <w:rPr>
          <w:rFonts w:ascii="Arial" w:hAnsi="Arial" w:cs="Arial"/>
          <w:b/>
        </w:rPr>
        <w:t>commends...:</w:t>
      </w:r>
    </w:p>
    <w:p w:rsidR="00000000" w:rsidRDefault="00F77DD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That a letter be sent to FDA requesting that Section 4-501-114(A) through (E) have a single Priority </w:t>
      </w:r>
      <w:r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 xml:space="preserve"> item classification for the entire section, and that the subsequent 9 Priority </w:t>
      </w:r>
      <w:r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 xml:space="preserve"> item </w:t>
      </w:r>
      <w:r>
        <w:rPr>
          <w:rFonts w:ascii="Arial" w:hAnsi="Arial" w:cs="Arial"/>
        </w:rPr>
        <w:lastRenderedPageBreak/>
        <w:t xml:space="preserve">classifications contained within sections (A) through </w:t>
      </w:r>
      <w:r>
        <w:rPr>
          <w:rFonts w:ascii="Arial" w:hAnsi="Arial" w:cs="Arial"/>
        </w:rPr>
        <w:t xml:space="preserve">(E) be removed. The initial paragraph and Priority </w:t>
      </w:r>
      <w:r>
        <w:rPr>
          <w:rFonts w:ascii="Arial" w:hAnsi="Arial" w:cs="Arial"/>
          <w:vertAlign w:val="superscript"/>
        </w:rPr>
        <w:t xml:space="preserve">P </w:t>
      </w:r>
      <w:r>
        <w:rPr>
          <w:rFonts w:ascii="Arial" w:hAnsi="Arial" w:cs="Arial"/>
        </w:rPr>
        <w:t>item classifications (as indicated below in italics) would cover any and all of the requirements under Section 4-501.114.</w:t>
      </w:r>
    </w:p>
    <w:p w:rsidR="00000000" w:rsidRDefault="00F77DDB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4-501.114 Manual and Mechanical Warewashing Equipment, Chemical Sanitization - Te</w:t>
      </w:r>
      <w:r>
        <w:rPr>
          <w:rStyle w:val="Emphasis"/>
          <w:rFonts w:ascii="Arial" w:hAnsi="Arial" w:cs="Arial"/>
        </w:rPr>
        <w:t>mperature, pH, Concentration, and Hardness.</w:t>
      </w:r>
    </w:p>
    <w:p w:rsidR="00000000" w:rsidRDefault="00F77DDB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A chemical sanitizer used in a sanitizing solution for a manual or mechanical operation at contact times specified under ¶ 4-703.11(C) shall meet the criteria specified under § 7-204.11 Sanitizers, Criteria, shal</w:t>
      </w:r>
      <w:r>
        <w:rPr>
          <w:rStyle w:val="Emphasis"/>
          <w:rFonts w:ascii="Arial" w:hAnsi="Arial" w:cs="Arial"/>
        </w:rPr>
        <w:t xml:space="preserve">l be used in accordance with the EPA-registered label use instructions, and shall be used as follows </w:t>
      </w:r>
      <w:r>
        <w:rPr>
          <w:rStyle w:val="Emphasis"/>
          <w:rFonts w:ascii="Arial" w:hAnsi="Arial" w:cs="Arial"/>
          <w:vertAlign w:val="superscript"/>
        </w:rPr>
        <w:t>P</w:t>
      </w:r>
      <w:r>
        <w:rPr>
          <w:rStyle w:val="Emphasis"/>
          <w:rFonts w:ascii="Arial" w:hAnsi="Arial" w:cs="Arial"/>
        </w:rPr>
        <w:t>:</w:t>
      </w:r>
    </w:p>
    <w:p w:rsidR="00000000" w:rsidRDefault="00F77DDB">
      <w:pPr>
        <w:rPr>
          <w:rFonts w:ascii="Arial" w:eastAsia="Times New Roman" w:hAnsi="Arial" w:cs="Arial"/>
        </w:rPr>
      </w:pPr>
    </w:p>
    <w:p w:rsidR="00000000" w:rsidRDefault="00F77D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F77DDB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F77D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Larry Kohl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F77D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F77D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Marketing Institute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F77D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F77D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2345 Crystal DriveSuite 800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F77D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F77D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Arlington, VA 22202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F77D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F77D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202-220-0659</w:t>
            </w:r>
          </w:p>
        </w:tc>
        <w:tc>
          <w:tcPr>
            <w:tcW w:w="900" w:type="dxa"/>
            <w:hideMark/>
          </w:tcPr>
          <w:p w:rsidR="00000000" w:rsidRDefault="00F77D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F77DDB">
            <w:pPr>
              <w:widowControl w:val="0"/>
              <w:rPr>
                <w:rFonts w:ascii="Arial" w:hAnsi="Arial" w:cs="Arial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F77D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F77D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lkohl@fmi.org</w:t>
            </w:r>
          </w:p>
        </w:tc>
      </w:tr>
    </w:tbl>
    <w:p w:rsidR="00000000" w:rsidRDefault="00F77DDB">
      <w:pPr>
        <w:rPr>
          <w:rFonts w:ascii="Arial" w:hAnsi="Arial" w:cs="Arial"/>
          <w:b/>
        </w:rPr>
      </w:pPr>
    </w:p>
    <w:p w:rsidR="00F77DDB" w:rsidRDefault="00F77DDB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F77DDB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F971D9"/>
    <w:rsid w:val="00F77DDB"/>
    <w:rsid w:val="00F9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Office Word</Application>
  <DocSecurity>0</DocSecurity>
  <Lines>22</Lines>
  <Paragraphs>6</Paragraphs>
  <ScaleCrop>false</ScaleCrop>
  <Company>Conference for Food Safety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2011-08-25T21:31:00Z</dcterms:created>
  <dcterms:modified xsi:type="dcterms:W3CDTF">2011-08-25T21:31:00Z</dcterms:modified>
</cp:coreProperties>
</file>