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75D6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775D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2010 Issue Form</w:t>
      </w:r>
    </w:p>
    <w:p w:rsidR="00000000" w:rsidRDefault="00775D62">
      <w:pPr>
        <w:rPr>
          <w:rFonts w:ascii="Arial" w:hAnsi="Arial" w:cs="Arial"/>
          <w:b/>
        </w:rPr>
      </w:pPr>
    </w:p>
    <w:p w:rsidR="00000000" w:rsidRDefault="00775D6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011</w:t>
      </w:r>
    </w:p>
    <w:p w:rsidR="00000000" w:rsidRDefault="00775D6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2010 II-012</w:t>
      </w:r>
    </w:p>
    <w:p w:rsidR="00000000" w:rsidRDefault="00775D6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75D62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75D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775D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5D6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75D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5D6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5D62">
            <w:pPr>
              <w:rPr>
                <w:rFonts w:ascii="Arial" w:hAnsi="Arial" w:cs="Arial"/>
                <w:b/>
              </w:rPr>
            </w:pPr>
          </w:p>
          <w:p w:rsidR="00000000" w:rsidRDefault="00775D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5D62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75D62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75D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5D6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75D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5D6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5D62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5D62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775D62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775D62">
      <w:pPr>
        <w:rPr>
          <w:rFonts w:ascii="Arial" w:hAnsi="Arial" w:cs="Arial"/>
          <w:b/>
        </w:rPr>
      </w:pPr>
    </w:p>
    <w:p w:rsidR="00000000" w:rsidRDefault="00775D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775D6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Clarifying Definitions for Step 4, Standard 2 - Program Standards</w:t>
      </w:r>
    </w:p>
    <w:p w:rsidR="00000000" w:rsidRDefault="00775D62">
      <w:pPr>
        <w:rPr>
          <w:rFonts w:ascii="Arial" w:eastAsia="Times New Roman" w:hAnsi="Arial" w:cs="Arial"/>
        </w:rPr>
      </w:pPr>
    </w:p>
    <w:p w:rsidR="00000000" w:rsidRDefault="00775D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775D6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Revise the definitions for "Trainer" and "Training Standard" to clarify t</w:t>
      </w:r>
      <w:r>
        <w:rPr>
          <w:rFonts w:ascii="Arial" w:hAnsi="Arial" w:cs="Arial"/>
        </w:rPr>
        <w:t>he differences in performance responsibilities and qualifications. In addition, revise Step 4, Standard 2 - Trained Regulatory Staff, FDA Voluntary National Retail Food Regulatory Program Standards (2009) to include a reference to the "Training Standard" q</w:t>
      </w:r>
      <w:r>
        <w:rPr>
          <w:rFonts w:ascii="Arial" w:hAnsi="Arial" w:cs="Arial"/>
        </w:rPr>
        <w:t>ualifications listed in the definition section of the FDA Program Standards document.</w:t>
      </w:r>
    </w:p>
    <w:p w:rsidR="00000000" w:rsidRDefault="00775D62">
      <w:pPr>
        <w:rPr>
          <w:rFonts w:ascii="Arial" w:eastAsia="Times New Roman" w:hAnsi="Arial" w:cs="Arial"/>
        </w:rPr>
      </w:pPr>
    </w:p>
    <w:p w:rsidR="00000000" w:rsidRDefault="00775D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775D6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 2006, the Conference unanimously approved a recommendation from the CFP Certification of Food Safety Regulation Professionals (CFSRP) work</w:t>
      </w:r>
      <w:r>
        <w:rPr>
          <w:rFonts w:ascii="Arial" w:hAnsi="Arial" w:cs="Arial"/>
        </w:rPr>
        <w:t xml:space="preserve"> group to revise the minimum number of inspections a Food Safety Inspection Officer (FSIO) must successfully complete as part of their Food Code standardization process. The minimum number of standardization inspections in Step 4, Standard 2, was reduced f</w:t>
      </w:r>
      <w:r>
        <w:rPr>
          <w:rFonts w:ascii="Arial" w:hAnsi="Arial" w:cs="Arial"/>
        </w:rPr>
        <w:t xml:space="preserve">rom 8 to 4 for FSIOs who would </w:t>
      </w:r>
      <w:r>
        <w:rPr>
          <w:rStyle w:val="Strong"/>
          <w:rFonts w:ascii="Arial" w:hAnsi="Arial" w:cs="Arial"/>
        </w:rPr>
        <w:t>NOT</w:t>
      </w:r>
      <w:r>
        <w:rPr>
          <w:rFonts w:ascii="Arial" w:hAnsi="Arial" w:cs="Arial"/>
        </w:rPr>
        <w:t xml:space="preserve"> be expected to serve as "Training Standards" responsible for standardizing other FSIOs. The standardization process must be similar to the "FDA Standardization Procedures" and address the five following performance areas:</w:t>
      </w:r>
    </w:p>
    <w:p w:rsidR="00000000" w:rsidRDefault="00775D6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Risk-based inspections focusing on the factors that contributed to foodborne illness;</w:t>
      </w:r>
    </w:p>
    <w:p w:rsidR="00000000" w:rsidRDefault="00775D6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Good Retail Practices;</w:t>
      </w:r>
    </w:p>
    <w:p w:rsidR="00000000" w:rsidRDefault="00775D6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Application of HACCP Principles;</w:t>
      </w:r>
    </w:p>
    <w:p w:rsidR="00000000" w:rsidRDefault="00775D6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4. Inspection equipment; and</w:t>
      </w:r>
    </w:p>
    <w:p w:rsidR="00000000" w:rsidRDefault="00775D6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5. Communication.</w:t>
      </w:r>
    </w:p>
    <w:p w:rsidR="00000000" w:rsidRDefault="00775D6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FDA standardization procedures are based on a minimum</w:t>
      </w:r>
      <w:r>
        <w:rPr>
          <w:rFonts w:ascii="Arial" w:hAnsi="Arial" w:cs="Arial"/>
        </w:rPr>
        <w:t xml:space="preserve"> of 8 inspections and include performance areas related to the development of HACCP flow charts, completion of a risk control plan, and verification of a HACCP Plan. FDA standardizations are conducted with regulatory retail food protection personnel who wo</w:t>
      </w:r>
      <w:r>
        <w:rPr>
          <w:rFonts w:ascii="Arial" w:hAnsi="Arial" w:cs="Arial"/>
        </w:rPr>
        <w:t>uld be expected to serve as "Training Standards" responsible for standardizing other FSIOs.</w:t>
      </w:r>
    </w:p>
    <w:p w:rsidR="00000000" w:rsidRDefault="00775D6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Jurisdictions participating in the FDA Program Standards have indicated that the Standard 2 criteria does not clearly address the differences in the standardization</w:t>
      </w:r>
      <w:r>
        <w:rPr>
          <w:rFonts w:ascii="Arial" w:hAnsi="Arial" w:cs="Arial"/>
        </w:rPr>
        <w:t xml:space="preserve"> process needed to be a "Training Standard" versus standardization of FSIOs who will </w:t>
      </w:r>
      <w:r>
        <w:rPr>
          <w:rStyle w:val="Strong"/>
          <w:rFonts w:ascii="Arial" w:hAnsi="Arial" w:cs="Arial"/>
        </w:rPr>
        <w:t xml:space="preserve">NOT </w:t>
      </w:r>
      <w:r>
        <w:rPr>
          <w:rFonts w:ascii="Arial" w:hAnsi="Arial" w:cs="Arial"/>
        </w:rPr>
        <w:t>conduct standardizations with other FSIOs.</w:t>
      </w:r>
    </w:p>
    <w:p w:rsidR="00000000" w:rsidRDefault="00775D6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CFP CFSRP work group is recommending that the definitions of "Trainer" and "Training Standard" contained in the FDA Prog</w:t>
      </w:r>
      <w:r>
        <w:rPr>
          <w:rFonts w:ascii="Arial" w:hAnsi="Arial" w:cs="Arial"/>
        </w:rPr>
        <w:t>ram Standards (2009) be revised to clearly identify the requirements for each of these roles. In addition, the work group recommends that Step 4, Standard 2, be revised to include a reference to the requirements for conducting field standardization of FSIO</w:t>
      </w:r>
      <w:r>
        <w:rPr>
          <w:rFonts w:ascii="Arial" w:hAnsi="Arial" w:cs="Arial"/>
        </w:rPr>
        <w:t>s as presented in the work group's proposed "Training Standard" definition.</w:t>
      </w:r>
    </w:p>
    <w:p w:rsidR="00000000" w:rsidRDefault="00775D62">
      <w:pPr>
        <w:rPr>
          <w:rFonts w:ascii="Arial" w:eastAsia="Times New Roman" w:hAnsi="Arial" w:cs="Arial"/>
        </w:rPr>
      </w:pPr>
    </w:p>
    <w:p w:rsidR="00000000" w:rsidRDefault="00775D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775D6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requesting:</w:t>
      </w:r>
    </w:p>
    <w:p w:rsidR="00000000" w:rsidRDefault="00775D6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that the terms "Trainer" and "Training Standard" </w:t>
      </w:r>
      <w:r>
        <w:rPr>
          <w:rFonts w:ascii="Arial" w:eastAsia="Times New Roman" w:hAnsi="Arial" w:cs="Arial"/>
        </w:rPr>
        <w:t>as defined in the FDA Voluntary National Retail Food Program Standards (2009) be revised to reflect the language below.</w:t>
      </w:r>
    </w:p>
    <w:p w:rsidR="00000000" w:rsidRDefault="00775D6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that Step 4, Standard 2 be revised to include clarification regarding the "Training Standard" requirements as presented below.</w:t>
      </w:r>
    </w:p>
    <w:p w:rsidR="00000000" w:rsidRDefault="00775D62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Note: new</w:t>
      </w:r>
      <w:r>
        <w:rPr>
          <w:rStyle w:val="Emphasis"/>
          <w:rFonts w:ascii="Arial" w:hAnsi="Arial" w:cs="Arial"/>
        </w:rPr>
        <w:t xml:space="preserve"> language is underlined; language to be deleted is with strike through.</w:t>
      </w:r>
    </w:p>
    <w:p w:rsidR="00000000" w:rsidRDefault="00775D62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DEFINITIONS</w:t>
      </w:r>
    </w:p>
    <w:p w:rsidR="00000000" w:rsidRDefault="00775D6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following definitions apply in the interpretation and application of these Standards.</w:t>
      </w:r>
    </w:p>
    <w:p w:rsidR="00000000" w:rsidRDefault="00775D6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24) </w:t>
      </w:r>
      <w:r>
        <w:rPr>
          <w:rStyle w:val="Strong"/>
          <w:rFonts w:ascii="Arial" w:hAnsi="Arial" w:cs="Arial"/>
        </w:rPr>
        <w:t>Trainer</w:t>
      </w:r>
      <w:r>
        <w:rPr>
          <w:rFonts w:ascii="Arial" w:hAnsi="Arial" w:cs="Arial"/>
        </w:rPr>
        <w:t xml:space="preserve"> - an individual who has successfully completed the training elements a</w:t>
      </w:r>
      <w:r>
        <w:rPr>
          <w:rFonts w:ascii="Arial" w:hAnsi="Arial" w:cs="Arial"/>
        </w:rPr>
        <w:t xml:space="preserve">s outlined in </w:t>
      </w:r>
      <w:r>
        <w:rPr>
          <w:rFonts w:ascii="Arial" w:hAnsi="Arial" w:cs="Arial"/>
          <w:u w:val="single"/>
        </w:rPr>
        <w:t>Steps 1-3</w:t>
      </w:r>
      <w:r>
        <w:rPr>
          <w:rFonts w:ascii="Arial" w:hAnsi="Arial" w:cs="Arial"/>
        </w:rPr>
        <w:t>, Standard 2, and is recognized by the program manager as having field experience and communication skills necessary to train new employees.</w:t>
      </w:r>
    </w:p>
    <w:p w:rsidR="00000000" w:rsidRDefault="00775D6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Satisfactory completion of the prerequisite curriculum;</w:t>
      </w:r>
    </w:p>
    <w:p w:rsidR="00000000" w:rsidRDefault="00775D6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Completion of a field training</w:t>
      </w:r>
      <w:r>
        <w:rPr>
          <w:rFonts w:ascii="Arial" w:hAnsi="Arial" w:cs="Arial"/>
        </w:rPr>
        <w:t xml:space="preserve"> process similar to that contained in Appendix B-2, and</w:t>
      </w:r>
    </w:p>
    <w:p w:rsidR="00000000" w:rsidRDefault="00775D6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3. Completion of </w:t>
      </w:r>
      <w:r>
        <w:rPr>
          <w:rFonts w:ascii="Arial" w:hAnsi="Arial" w:cs="Arial"/>
          <w:u w:val="single"/>
        </w:rPr>
        <w:t>a minimum of</w:t>
      </w:r>
      <w:r>
        <w:rPr>
          <w:rFonts w:ascii="Arial" w:hAnsi="Arial" w:cs="Arial"/>
        </w:rPr>
        <w:t xml:space="preserve"> 25 independent inspections and satisfactory completion of the remaining course curriculum.</w:t>
      </w:r>
    </w:p>
    <w:p w:rsidR="00000000" w:rsidRDefault="00775D6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25) </w:t>
      </w:r>
      <w:r>
        <w:rPr>
          <w:rStyle w:val="Strong"/>
          <w:rFonts w:ascii="Arial" w:hAnsi="Arial" w:cs="Arial"/>
        </w:rPr>
        <w:t>Training Standard</w:t>
      </w:r>
      <w:r>
        <w:rPr>
          <w:rFonts w:ascii="Arial" w:hAnsi="Arial" w:cs="Arial"/>
        </w:rPr>
        <w:t xml:space="preserve"> - a trainer who has successfully completed the following </w:t>
      </w:r>
      <w:r>
        <w:rPr>
          <w:rFonts w:ascii="Arial" w:hAnsi="Arial" w:cs="Arial"/>
        </w:rPr>
        <w:t xml:space="preserve">training </w:t>
      </w:r>
      <w:r>
        <w:rPr>
          <w:rFonts w:ascii="Arial" w:hAnsi="Arial" w:cs="Arial"/>
          <w:u w:val="single"/>
        </w:rPr>
        <w:t>AND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trike/>
        </w:rPr>
        <w:t>and</w:t>
      </w:r>
      <w:r>
        <w:rPr>
          <w:rFonts w:ascii="Arial" w:hAnsi="Arial" w:cs="Arial"/>
        </w:rPr>
        <w:t xml:space="preserve"> standardization elements in Standard 2 and is recognized by the program manager as having the field experience and communication skills necessary to train and standardize new employees. The training and standardization elements include:</w:t>
      </w:r>
    </w:p>
    <w:p w:rsidR="00000000" w:rsidRDefault="00775D6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Satisfactory completion of the prerequisite curriculum;</w:t>
      </w:r>
    </w:p>
    <w:p w:rsidR="00000000" w:rsidRDefault="00775D6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Completion of a field training process similar to that contained in Appendix B-2;</w:t>
      </w:r>
    </w:p>
    <w:p w:rsidR="00000000" w:rsidRDefault="00775D6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3. Completion of </w:t>
      </w:r>
      <w:r>
        <w:rPr>
          <w:rFonts w:ascii="Arial" w:hAnsi="Arial" w:cs="Arial"/>
          <w:u w:val="single"/>
        </w:rPr>
        <w:t>a minimum of</w:t>
      </w:r>
      <w:r>
        <w:rPr>
          <w:rFonts w:ascii="Arial" w:hAnsi="Arial" w:cs="Arial"/>
        </w:rPr>
        <w:t xml:space="preserve"> 25 independent inspections and satisfactory completion of the remaining course curri</w:t>
      </w:r>
      <w:r>
        <w:rPr>
          <w:rFonts w:ascii="Arial" w:hAnsi="Arial" w:cs="Arial"/>
        </w:rPr>
        <w:t>culum; and</w:t>
      </w:r>
    </w:p>
    <w:p w:rsidR="00000000" w:rsidRDefault="00775D6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u w:val="single"/>
        </w:rPr>
        <w:t>Successful</w:t>
      </w:r>
      <w:r>
        <w:rPr>
          <w:rFonts w:ascii="Arial" w:hAnsi="Arial" w:cs="Arial"/>
        </w:rPr>
        <w:t xml:space="preserve"> completion of a standardization process </w:t>
      </w:r>
      <w:r>
        <w:rPr>
          <w:rFonts w:ascii="Arial" w:hAnsi="Arial" w:cs="Arial"/>
          <w:u w:val="single"/>
        </w:rPr>
        <w:t>based on a minimum of eight inspections that includes development of HACCP flow charts, completion of a risk control plan, and verification of a HACCP Plan</w:t>
      </w:r>
      <w:r>
        <w:rPr>
          <w:rFonts w:ascii="Arial" w:hAnsi="Arial" w:cs="Arial"/>
        </w:rPr>
        <w:t>, similar to the FDA Standardization</w:t>
      </w:r>
      <w:r>
        <w:rPr>
          <w:rFonts w:ascii="Arial" w:hAnsi="Arial" w:cs="Arial"/>
        </w:rPr>
        <w:t xml:space="preserve"> Procedures.</w:t>
      </w:r>
    </w:p>
    <w:p w:rsidR="00000000" w:rsidRDefault="00775D62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Step 4 - Food Safety Inspection Officer - Field Standardization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Within 18 months of employment or assignment to the retail food program, staff conducting inspections of retail food establishments must satisfactorily complete four joint inspections with a "training standard" using a process similar to the "FDA Standardi</w:t>
      </w:r>
      <w:r>
        <w:rPr>
          <w:rFonts w:ascii="Arial" w:hAnsi="Arial" w:cs="Arial"/>
        </w:rPr>
        <w:t xml:space="preserve">zation Procedures." </w:t>
      </w:r>
      <w:r>
        <w:rPr>
          <w:rFonts w:ascii="Arial" w:hAnsi="Arial" w:cs="Arial"/>
          <w:u w:val="single"/>
        </w:rPr>
        <w:t>The jurisdiction's "training standard" must have met all the requirements for conducting field standardizations as presented in the definition section for these Standards.</w:t>
      </w:r>
      <w:r>
        <w:rPr>
          <w:rFonts w:ascii="Arial" w:hAnsi="Arial" w:cs="Arial"/>
        </w:rPr>
        <w:t xml:space="preserve"> The standardization procedures shall determine the inspector's a</w:t>
      </w:r>
      <w:r>
        <w:rPr>
          <w:rFonts w:ascii="Arial" w:hAnsi="Arial" w:cs="Arial"/>
        </w:rPr>
        <w:t>bility to apply the knowledge and skills obtained from the training curriculum, and address the five following performance areas:</w:t>
      </w:r>
    </w:p>
    <w:p w:rsidR="00000000" w:rsidRDefault="00775D6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Risk-based inspections focusing on the factors that contribute to foodborne illness;</w:t>
      </w:r>
    </w:p>
    <w:p w:rsidR="00000000" w:rsidRDefault="00775D6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Good Retail Practices;</w:t>
      </w:r>
    </w:p>
    <w:p w:rsidR="00000000" w:rsidRDefault="00775D6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Applicati</w:t>
      </w:r>
      <w:r>
        <w:rPr>
          <w:rFonts w:ascii="Arial" w:hAnsi="Arial" w:cs="Arial"/>
        </w:rPr>
        <w:t>on of HACCP;</w:t>
      </w:r>
    </w:p>
    <w:p w:rsidR="00000000" w:rsidRDefault="00775D6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4. Inspection equipment; and</w:t>
      </w:r>
    </w:p>
    <w:p w:rsidR="00000000" w:rsidRDefault="00775D6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5. Communication.</w:t>
      </w:r>
    </w:p>
    <w:p w:rsidR="00000000" w:rsidRDefault="00775D62">
      <w:pPr>
        <w:rPr>
          <w:rFonts w:ascii="Arial" w:eastAsia="Times New Roman" w:hAnsi="Arial" w:cs="Arial"/>
        </w:rPr>
      </w:pPr>
    </w:p>
    <w:p w:rsidR="00000000" w:rsidRDefault="00775D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775D62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775D6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A. Marcello, Co-Chair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775D6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775D6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CFP Certification of Food Safety Regulation Professionals Work Group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775D6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775D6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W. 3rd Street, E-265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775D6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775D6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Tempe, AZ 85281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775D6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775D6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480 829-7396 ext. 35</w:t>
            </w:r>
          </w:p>
        </w:tc>
        <w:tc>
          <w:tcPr>
            <w:tcW w:w="900" w:type="dxa"/>
            <w:hideMark/>
          </w:tcPr>
          <w:p w:rsidR="00000000" w:rsidRDefault="00775D6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775D6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480 829-7677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775D6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775D6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john.marcello@fda.hhs.gov</w:t>
            </w:r>
          </w:p>
        </w:tc>
      </w:tr>
    </w:tbl>
    <w:p w:rsidR="00000000" w:rsidRDefault="00775D62">
      <w:pPr>
        <w:rPr>
          <w:rFonts w:ascii="Arial" w:hAnsi="Arial" w:cs="Arial"/>
          <w:b/>
        </w:rPr>
      </w:pPr>
    </w:p>
    <w:p w:rsidR="00775D62" w:rsidRDefault="00775D62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775D62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84656"/>
    <w:multiLevelType w:val="multilevel"/>
    <w:tmpl w:val="07D6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CD09D6"/>
    <w:rsid w:val="00775D62"/>
    <w:rsid w:val="00CD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5219</Characters>
  <Application>Microsoft Office Word</Application>
  <DocSecurity>0</DocSecurity>
  <Lines>43</Lines>
  <Paragraphs>12</Paragraphs>
  <ScaleCrop>false</ScaleCrop>
  <Company>Conference for Food Safety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2011-08-25T21:29:00Z</dcterms:created>
  <dcterms:modified xsi:type="dcterms:W3CDTF">2011-08-25T21:29:00Z</dcterms:modified>
</cp:coreProperties>
</file>